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7E07A5" w14:textId="7609FBB1" w:rsidR="00043C9F" w:rsidRPr="00415B48" w:rsidRDefault="0042158C" w:rsidP="00F20E67">
      <w:pPr>
        <w:rPr>
          <w:rFonts w:ascii="Candara" w:hAnsi="Candara" w:cs="Arial"/>
          <w:i/>
          <w:sz w:val="22"/>
          <w:szCs w:val="22"/>
        </w:rPr>
      </w:pPr>
      <w:bookmarkStart w:id="0" w:name="_GoBack"/>
      <w:bookmarkEnd w:id="0"/>
      <w:r w:rsidRPr="00043C9F">
        <w:rPr>
          <w:rFonts w:ascii="Candara" w:hAnsi="Candara" w:cs="Arial"/>
          <w:i/>
          <w:sz w:val="22"/>
          <w:szCs w:val="22"/>
        </w:rPr>
        <w:tab/>
      </w:r>
    </w:p>
    <w:p w14:paraId="65A68F4C" w14:textId="77777777" w:rsidR="001E7583" w:rsidRDefault="00CC644A" w:rsidP="00CC644A">
      <w:pPr>
        <w:jc w:val="center"/>
        <w:rPr>
          <w:b/>
          <w:sz w:val="32"/>
          <w:szCs w:val="32"/>
        </w:rPr>
      </w:pPr>
      <w:r w:rsidRPr="00CC644A">
        <w:rPr>
          <w:b/>
          <w:sz w:val="32"/>
          <w:szCs w:val="32"/>
        </w:rPr>
        <w:t xml:space="preserve">Invitation to Quote (ITQ) </w:t>
      </w:r>
    </w:p>
    <w:p w14:paraId="5F05EF41" w14:textId="0701A86A" w:rsidR="00CC644A" w:rsidRPr="00CC644A" w:rsidRDefault="00CC644A" w:rsidP="00CC644A">
      <w:pPr>
        <w:jc w:val="center"/>
        <w:rPr>
          <w:b/>
          <w:sz w:val="32"/>
          <w:szCs w:val="32"/>
        </w:rPr>
      </w:pPr>
      <w:r w:rsidRPr="00CC644A">
        <w:rPr>
          <w:b/>
          <w:sz w:val="32"/>
          <w:szCs w:val="32"/>
        </w:rPr>
        <w:t xml:space="preserve">Shopping </w:t>
      </w:r>
      <w:r w:rsidR="00B231F4" w:rsidRPr="00CC644A">
        <w:rPr>
          <w:b/>
          <w:sz w:val="32"/>
          <w:szCs w:val="32"/>
        </w:rPr>
        <w:t>for</w:t>
      </w:r>
      <w:r w:rsidRPr="00CC644A">
        <w:rPr>
          <w:b/>
          <w:sz w:val="32"/>
          <w:szCs w:val="32"/>
        </w:rPr>
        <w:t xml:space="preserve"> Goods</w:t>
      </w:r>
    </w:p>
    <w:p w14:paraId="01B8838F" w14:textId="77777777" w:rsidR="00CC644A" w:rsidRPr="00CB4C6F" w:rsidRDefault="00CC644A" w:rsidP="00CC644A"/>
    <w:p w14:paraId="54E85753" w14:textId="77777777" w:rsidR="00CC644A" w:rsidRPr="00CB4C6F" w:rsidRDefault="00CC644A" w:rsidP="00CC644A">
      <w:pPr>
        <w:ind w:left="720"/>
        <w:jc w:val="both"/>
      </w:pPr>
    </w:p>
    <w:p w14:paraId="76C14EA5" w14:textId="078C42A1" w:rsidR="005235A1" w:rsidRDefault="00CC644A" w:rsidP="00CC644A">
      <w:pPr>
        <w:jc w:val="both"/>
        <w:rPr>
          <w:bCs/>
        </w:rPr>
      </w:pPr>
      <w:r w:rsidRPr="00CC644A">
        <w:rPr>
          <w:b/>
          <w:bCs/>
        </w:rPr>
        <w:t>Project Title:</w:t>
      </w:r>
      <w:r>
        <w:rPr>
          <w:bCs/>
        </w:rPr>
        <w:tab/>
      </w:r>
      <w:r w:rsidR="005235A1">
        <w:rPr>
          <w:bCs/>
        </w:rPr>
        <w:t xml:space="preserve">Tuvalu </w:t>
      </w:r>
      <w:r w:rsidR="005235A1">
        <w:t>Energy Sector Development Project</w:t>
      </w:r>
      <w:r>
        <w:t xml:space="preserve"> (P1</w:t>
      </w:r>
      <w:r w:rsidR="005235A1">
        <w:t>44573</w:t>
      </w:r>
      <w:r>
        <w:t>)</w:t>
      </w:r>
      <w:r>
        <w:rPr>
          <w:bCs/>
        </w:rPr>
        <w:tab/>
      </w:r>
    </w:p>
    <w:p w14:paraId="706AFACB" w14:textId="051FE145" w:rsidR="00CC644A" w:rsidRPr="00CB4C6F" w:rsidRDefault="00CC644A" w:rsidP="00CC644A">
      <w:pPr>
        <w:jc w:val="both"/>
        <w:rPr>
          <w:bCs/>
        </w:rPr>
      </w:pPr>
      <w:r w:rsidRPr="00CC644A">
        <w:rPr>
          <w:b/>
          <w:bCs/>
        </w:rPr>
        <w:t>Date:</w:t>
      </w:r>
      <w:r>
        <w:rPr>
          <w:bCs/>
        </w:rPr>
        <w:t xml:space="preserve"> </w:t>
      </w:r>
      <w:r w:rsidR="00E5473C">
        <w:rPr>
          <w:bCs/>
        </w:rPr>
        <w:t xml:space="preserve"> </w:t>
      </w:r>
      <w:r w:rsidR="00261362">
        <w:rPr>
          <w:bCs/>
        </w:rPr>
        <w:t>2</w:t>
      </w:r>
      <w:r w:rsidR="00516A2D">
        <w:rPr>
          <w:bCs/>
        </w:rPr>
        <w:t xml:space="preserve">1 </w:t>
      </w:r>
      <w:r w:rsidR="00261362">
        <w:rPr>
          <w:bCs/>
        </w:rPr>
        <w:t>May 2021</w:t>
      </w:r>
    </w:p>
    <w:p w14:paraId="53243050" w14:textId="753EDC09" w:rsidR="00CC644A" w:rsidRPr="00CB4C6F" w:rsidRDefault="00CC644A" w:rsidP="00CC644A">
      <w:pPr>
        <w:jc w:val="both"/>
        <w:rPr>
          <w:bCs/>
          <w:u w:val="single"/>
        </w:rPr>
      </w:pPr>
      <w:r w:rsidRPr="00CC644A">
        <w:rPr>
          <w:b/>
          <w:bCs/>
        </w:rPr>
        <w:t>Source of Funding:</w:t>
      </w:r>
      <w:r w:rsidRPr="00CB4C6F">
        <w:rPr>
          <w:bCs/>
        </w:rPr>
        <w:t xml:space="preserve"> </w:t>
      </w:r>
      <w:r>
        <w:rPr>
          <w:bCs/>
        </w:rPr>
        <w:t>World Bank</w:t>
      </w:r>
      <w:r w:rsidR="00ED1A38">
        <w:rPr>
          <w:bCs/>
        </w:rPr>
        <w:t xml:space="preserve"> Project P1</w:t>
      </w:r>
      <w:r w:rsidR="005235A1">
        <w:rPr>
          <w:bCs/>
        </w:rPr>
        <w:t>44573</w:t>
      </w:r>
    </w:p>
    <w:p w14:paraId="2E5E3C90" w14:textId="54C28A4C" w:rsidR="00CC644A" w:rsidRPr="00996FB1" w:rsidRDefault="00CC644A" w:rsidP="00CC644A">
      <w:pPr>
        <w:pStyle w:val="BodyText2"/>
        <w:rPr>
          <w:bCs/>
        </w:rPr>
      </w:pPr>
      <w:r w:rsidRPr="00CC644A">
        <w:rPr>
          <w:b/>
          <w:bCs/>
        </w:rPr>
        <w:t>Contract Ref:</w:t>
      </w:r>
      <w:r w:rsidRPr="00CB4C6F">
        <w:rPr>
          <w:bCs/>
        </w:rPr>
        <w:t xml:space="preserve"> </w:t>
      </w:r>
      <w:r w:rsidR="0005242D" w:rsidRPr="0005242D">
        <w:rPr>
          <w:bCs/>
        </w:rPr>
        <w:t>ESDP/TUV/SH9 /</w:t>
      </w:r>
      <w:r w:rsidR="00D45164">
        <w:rPr>
          <w:bCs/>
        </w:rPr>
        <w:t>202</w:t>
      </w:r>
      <w:r w:rsidR="00261362">
        <w:rPr>
          <w:bCs/>
        </w:rPr>
        <w:t>1</w:t>
      </w:r>
      <w:r w:rsidR="0005242D" w:rsidRPr="0005242D">
        <w:rPr>
          <w:bCs/>
        </w:rPr>
        <w:t xml:space="preserve"> Electric Motorcycles for pilot program under the Tuvalu Energy Sector Development Project</w:t>
      </w:r>
    </w:p>
    <w:p w14:paraId="267A31CF" w14:textId="5CB8F728" w:rsidR="00D51FB5" w:rsidRDefault="00D51FB5" w:rsidP="001563AF">
      <w:pPr>
        <w:pStyle w:val="BodyText2"/>
        <w:spacing w:after="0" w:line="240" w:lineRule="auto"/>
      </w:pPr>
    </w:p>
    <w:p w14:paraId="12C01A24" w14:textId="77777777" w:rsidR="00D51FB5" w:rsidRPr="00912A12" w:rsidRDefault="00D51FB5" w:rsidP="00D51FB5">
      <w:pPr>
        <w:pStyle w:val="BodyText2"/>
        <w:spacing w:after="0" w:line="240" w:lineRule="auto"/>
        <w:rPr>
          <w:bCs/>
        </w:rPr>
      </w:pPr>
    </w:p>
    <w:p w14:paraId="62AADA34" w14:textId="37D6FB9F" w:rsidR="00CC644A" w:rsidRPr="00327ACF" w:rsidRDefault="00CC644A" w:rsidP="00327ACF">
      <w:pPr>
        <w:pStyle w:val="BodyText2"/>
        <w:rPr>
          <w:bCs/>
        </w:rPr>
      </w:pPr>
      <w:r w:rsidRPr="00912A12">
        <w:rPr>
          <w:bCs/>
        </w:rPr>
        <w:t>Dear Supplier,</w:t>
      </w:r>
    </w:p>
    <w:p w14:paraId="19623BF3" w14:textId="786A072C" w:rsidR="001563AF" w:rsidRDefault="001563AF" w:rsidP="00D47036">
      <w:pPr>
        <w:pStyle w:val="BodyText2"/>
        <w:numPr>
          <w:ilvl w:val="0"/>
          <w:numId w:val="16"/>
        </w:numPr>
        <w:spacing w:line="240" w:lineRule="auto"/>
        <w:jc w:val="both"/>
      </w:pPr>
      <w:r>
        <w:t>The Government of Tuvalu has received a Grant from the World Bank and intends to apply the proceeds of this grant to eligible payments under the contracts for which this Invitation to Quote is issued.</w:t>
      </w:r>
    </w:p>
    <w:p w14:paraId="4F81E93C" w14:textId="46406990" w:rsidR="00CC644A" w:rsidRDefault="001563AF" w:rsidP="00D47036">
      <w:pPr>
        <w:pStyle w:val="BodyText2"/>
        <w:spacing w:line="240" w:lineRule="auto"/>
        <w:ind w:left="720"/>
        <w:jc w:val="both"/>
      </w:pPr>
      <w:r>
        <w:t xml:space="preserve">The Tuvalu Electricity Corporation (TEC) hereby invites you to submit your price quotation(s) for the </w:t>
      </w:r>
      <w:r w:rsidR="0005242D" w:rsidRPr="0005242D">
        <w:t>Electric Motorcycles for pilot program under the Tuvalu Energy Sector Development Project</w:t>
      </w:r>
      <w:r>
        <w:t>. Details are as follows:</w:t>
      </w:r>
    </w:p>
    <w:p w14:paraId="301E9EFE" w14:textId="77777777" w:rsidR="00261362" w:rsidRDefault="00261362" w:rsidP="00D47036">
      <w:pPr>
        <w:pStyle w:val="BodyText2"/>
        <w:spacing w:line="240" w:lineRule="auto"/>
        <w:ind w:left="720"/>
        <w:jc w:val="both"/>
      </w:pPr>
    </w:p>
    <w:tbl>
      <w:tblPr>
        <w:tblStyle w:val="TableGrid"/>
        <w:tblW w:w="0" w:type="auto"/>
        <w:jc w:val="center"/>
        <w:tblLook w:val="04A0" w:firstRow="1" w:lastRow="0" w:firstColumn="1" w:lastColumn="0" w:noHBand="0" w:noVBand="1"/>
      </w:tblPr>
      <w:tblGrid>
        <w:gridCol w:w="3145"/>
        <w:gridCol w:w="1260"/>
        <w:gridCol w:w="1083"/>
        <w:gridCol w:w="1137"/>
      </w:tblGrid>
      <w:tr w:rsidR="001E1535" w14:paraId="67F04829" w14:textId="77777777" w:rsidTr="00A356EF">
        <w:trPr>
          <w:trHeight w:val="276"/>
          <w:jc w:val="center"/>
        </w:trPr>
        <w:tc>
          <w:tcPr>
            <w:tcW w:w="3145" w:type="dxa"/>
            <w:vMerge w:val="restart"/>
          </w:tcPr>
          <w:p w14:paraId="4133C64C" w14:textId="77777777" w:rsidR="001E1535" w:rsidRPr="00986D7C" w:rsidRDefault="001E1535" w:rsidP="004E1973">
            <w:pPr>
              <w:rPr>
                <w:b/>
                <w:bCs/>
              </w:rPr>
            </w:pPr>
            <w:r w:rsidRPr="00986D7C">
              <w:rPr>
                <w:b/>
                <w:bCs/>
              </w:rPr>
              <w:t>Description</w:t>
            </w:r>
          </w:p>
        </w:tc>
        <w:tc>
          <w:tcPr>
            <w:tcW w:w="1260" w:type="dxa"/>
            <w:vMerge w:val="restart"/>
          </w:tcPr>
          <w:p w14:paraId="7A4B35A3" w14:textId="77777777" w:rsidR="001E1535" w:rsidRPr="00986D7C" w:rsidRDefault="001E1535" w:rsidP="004E1973">
            <w:pPr>
              <w:rPr>
                <w:b/>
                <w:bCs/>
              </w:rPr>
            </w:pPr>
            <w:r w:rsidRPr="00986D7C">
              <w:rPr>
                <w:b/>
                <w:bCs/>
              </w:rPr>
              <w:t>Unit</w:t>
            </w:r>
          </w:p>
        </w:tc>
        <w:tc>
          <w:tcPr>
            <w:tcW w:w="949" w:type="dxa"/>
            <w:vMerge w:val="restart"/>
          </w:tcPr>
          <w:p w14:paraId="32559ADD" w14:textId="77777777" w:rsidR="001E1535" w:rsidRPr="00986D7C" w:rsidRDefault="001E1535" w:rsidP="004E1973">
            <w:pPr>
              <w:rPr>
                <w:b/>
                <w:bCs/>
              </w:rPr>
            </w:pPr>
            <w:r w:rsidRPr="00986D7C">
              <w:rPr>
                <w:b/>
                <w:bCs/>
              </w:rPr>
              <w:t>Country of origin</w:t>
            </w:r>
          </w:p>
        </w:tc>
        <w:tc>
          <w:tcPr>
            <w:tcW w:w="1056" w:type="dxa"/>
            <w:vMerge w:val="restart"/>
          </w:tcPr>
          <w:p w14:paraId="1922D273" w14:textId="77777777" w:rsidR="001E1535" w:rsidRPr="00986D7C" w:rsidRDefault="001E1535" w:rsidP="004E1973">
            <w:pPr>
              <w:rPr>
                <w:b/>
                <w:bCs/>
              </w:rPr>
            </w:pPr>
            <w:r w:rsidRPr="00986D7C">
              <w:rPr>
                <w:b/>
                <w:bCs/>
              </w:rPr>
              <w:t>Quantity</w:t>
            </w:r>
          </w:p>
        </w:tc>
      </w:tr>
      <w:tr w:rsidR="001E1535" w14:paraId="3378C007" w14:textId="77777777" w:rsidTr="00A356EF">
        <w:trPr>
          <w:trHeight w:val="276"/>
          <w:jc w:val="center"/>
        </w:trPr>
        <w:tc>
          <w:tcPr>
            <w:tcW w:w="3145" w:type="dxa"/>
            <w:vMerge/>
          </w:tcPr>
          <w:p w14:paraId="080D4A8E" w14:textId="77777777" w:rsidR="001E1535" w:rsidRDefault="001E1535" w:rsidP="004E1973"/>
        </w:tc>
        <w:tc>
          <w:tcPr>
            <w:tcW w:w="1260" w:type="dxa"/>
            <w:vMerge/>
          </w:tcPr>
          <w:p w14:paraId="00F1CE28" w14:textId="77777777" w:rsidR="001E1535" w:rsidRDefault="001E1535" w:rsidP="004E1973"/>
        </w:tc>
        <w:tc>
          <w:tcPr>
            <w:tcW w:w="949" w:type="dxa"/>
            <w:vMerge/>
          </w:tcPr>
          <w:p w14:paraId="577E7A38" w14:textId="77777777" w:rsidR="001E1535" w:rsidRDefault="001E1535" w:rsidP="004E1973"/>
        </w:tc>
        <w:tc>
          <w:tcPr>
            <w:tcW w:w="1056" w:type="dxa"/>
            <w:vMerge/>
          </w:tcPr>
          <w:p w14:paraId="2A239E32" w14:textId="77777777" w:rsidR="001E1535" w:rsidRDefault="001E1535" w:rsidP="004E1973"/>
        </w:tc>
      </w:tr>
      <w:tr w:rsidR="001E1535" w14:paraId="3823A668" w14:textId="77777777" w:rsidTr="00A356EF">
        <w:trPr>
          <w:trHeight w:val="784"/>
          <w:jc w:val="center"/>
        </w:trPr>
        <w:tc>
          <w:tcPr>
            <w:tcW w:w="3145" w:type="dxa"/>
          </w:tcPr>
          <w:p w14:paraId="3A6B9A8B" w14:textId="2428DAA2" w:rsidR="001E1535" w:rsidRDefault="001E1535" w:rsidP="004E1973">
            <w:r>
              <w:t>Electric Motor</w:t>
            </w:r>
            <w:r w:rsidR="006E2677">
              <w:t>cycle,</w:t>
            </w:r>
            <w:r>
              <w:t xml:space="preserve"> </w:t>
            </w:r>
            <w:r w:rsidR="0055477C">
              <w:t xml:space="preserve">Moped or </w:t>
            </w:r>
            <w:r>
              <w:t xml:space="preserve">Scooter </w:t>
            </w:r>
          </w:p>
        </w:tc>
        <w:tc>
          <w:tcPr>
            <w:tcW w:w="1260" w:type="dxa"/>
          </w:tcPr>
          <w:p w14:paraId="4D14A3B5" w14:textId="5296BC86" w:rsidR="001E1535" w:rsidRDefault="003B0AC6" w:rsidP="004E1973">
            <w:r>
              <w:t>V</w:t>
            </w:r>
            <w:r w:rsidR="00DA1771">
              <w:t>ehicle</w:t>
            </w:r>
          </w:p>
        </w:tc>
        <w:tc>
          <w:tcPr>
            <w:tcW w:w="949" w:type="dxa"/>
          </w:tcPr>
          <w:p w14:paraId="2BD92F19" w14:textId="77777777" w:rsidR="001E1535" w:rsidRDefault="001E1535" w:rsidP="004E1973"/>
        </w:tc>
        <w:tc>
          <w:tcPr>
            <w:tcW w:w="1056" w:type="dxa"/>
          </w:tcPr>
          <w:p w14:paraId="45F08B7A" w14:textId="7407C22E" w:rsidR="001E1535" w:rsidRDefault="00903E62" w:rsidP="004E1973">
            <w:r w:rsidRPr="00261362">
              <w:t>12</w:t>
            </w:r>
          </w:p>
        </w:tc>
      </w:tr>
      <w:tr w:rsidR="001E1535" w14:paraId="4BB3F583" w14:textId="77777777" w:rsidTr="00A356EF">
        <w:trPr>
          <w:trHeight w:val="784"/>
          <w:jc w:val="center"/>
        </w:trPr>
        <w:tc>
          <w:tcPr>
            <w:tcW w:w="3145" w:type="dxa"/>
          </w:tcPr>
          <w:p w14:paraId="0DA7BF48" w14:textId="229648C4" w:rsidR="001E1535" w:rsidRDefault="001E1535" w:rsidP="004E1973">
            <w:r>
              <w:t xml:space="preserve">Spare batteries </w:t>
            </w:r>
          </w:p>
        </w:tc>
        <w:tc>
          <w:tcPr>
            <w:tcW w:w="1260" w:type="dxa"/>
          </w:tcPr>
          <w:p w14:paraId="7761DD42" w14:textId="77777777" w:rsidR="001E1535" w:rsidRDefault="001E1535" w:rsidP="004E1973">
            <w:r>
              <w:t>Set</w:t>
            </w:r>
          </w:p>
        </w:tc>
        <w:tc>
          <w:tcPr>
            <w:tcW w:w="949" w:type="dxa"/>
          </w:tcPr>
          <w:p w14:paraId="00721E59" w14:textId="77777777" w:rsidR="001E1535" w:rsidRDefault="001E1535" w:rsidP="004E1973"/>
        </w:tc>
        <w:tc>
          <w:tcPr>
            <w:tcW w:w="1056" w:type="dxa"/>
          </w:tcPr>
          <w:p w14:paraId="3502E911" w14:textId="0C10ED93" w:rsidR="001E1535" w:rsidRDefault="0055477C" w:rsidP="004E1973">
            <w:r>
              <w:t>2</w:t>
            </w:r>
          </w:p>
        </w:tc>
      </w:tr>
      <w:tr w:rsidR="001E1535" w14:paraId="3C4B60CD" w14:textId="77777777" w:rsidTr="00A356EF">
        <w:trPr>
          <w:trHeight w:val="784"/>
          <w:jc w:val="center"/>
        </w:trPr>
        <w:tc>
          <w:tcPr>
            <w:tcW w:w="3145" w:type="dxa"/>
          </w:tcPr>
          <w:p w14:paraId="51DE7ABE" w14:textId="44C953D9" w:rsidR="001E1535" w:rsidRDefault="001E1535" w:rsidP="004E1973">
            <w:r>
              <w:t>Workshop</w:t>
            </w:r>
            <w:r w:rsidR="00E42F7A">
              <w:t xml:space="preserve"> special</w:t>
            </w:r>
            <w:r>
              <w:t xml:space="preserve"> tools and instruments</w:t>
            </w:r>
            <w:r w:rsidR="00E42F7A">
              <w:t xml:space="preserve"> </w:t>
            </w:r>
            <w:r w:rsidR="00DA1771">
              <w:t>(</w:t>
            </w:r>
            <w:r w:rsidR="00E42F7A">
              <w:t>if necessary</w:t>
            </w:r>
            <w:r w:rsidR="00DA1771">
              <w:t>)</w:t>
            </w:r>
          </w:p>
        </w:tc>
        <w:tc>
          <w:tcPr>
            <w:tcW w:w="1260" w:type="dxa"/>
          </w:tcPr>
          <w:p w14:paraId="5F17AC94" w14:textId="77777777" w:rsidR="001E1535" w:rsidRDefault="001E1535" w:rsidP="004E1973">
            <w:r>
              <w:t>Set</w:t>
            </w:r>
          </w:p>
        </w:tc>
        <w:tc>
          <w:tcPr>
            <w:tcW w:w="949" w:type="dxa"/>
          </w:tcPr>
          <w:p w14:paraId="2A4496A3" w14:textId="77777777" w:rsidR="001E1535" w:rsidRDefault="001E1535" w:rsidP="004E1973"/>
        </w:tc>
        <w:tc>
          <w:tcPr>
            <w:tcW w:w="1056" w:type="dxa"/>
          </w:tcPr>
          <w:p w14:paraId="2453C222" w14:textId="77777777" w:rsidR="001E1535" w:rsidRDefault="001E1535" w:rsidP="004E1973">
            <w:r>
              <w:t>2</w:t>
            </w:r>
          </w:p>
        </w:tc>
      </w:tr>
      <w:tr w:rsidR="001E1535" w14:paraId="103960AB" w14:textId="77777777" w:rsidTr="00A356EF">
        <w:trPr>
          <w:trHeight w:val="784"/>
          <w:jc w:val="center"/>
        </w:trPr>
        <w:tc>
          <w:tcPr>
            <w:tcW w:w="3145" w:type="dxa"/>
          </w:tcPr>
          <w:p w14:paraId="32CD7922" w14:textId="77777777" w:rsidR="001E1535" w:rsidRDefault="001E1535" w:rsidP="004E1973">
            <w:r>
              <w:t>Spare tyre – front wheel</w:t>
            </w:r>
          </w:p>
        </w:tc>
        <w:tc>
          <w:tcPr>
            <w:tcW w:w="1260" w:type="dxa"/>
          </w:tcPr>
          <w:p w14:paraId="0FACCCF8" w14:textId="77777777" w:rsidR="001E1535" w:rsidRDefault="001E1535" w:rsidP="004E1973">
            <w:r>
              <w:t>1 tyre</w:t>
            </w:r>
          </w:p>
        </w:tc>
        <w:tc>
          <w:tcPr>
            <w:tcW w:w="949" w:type="dxa"/>
          </w:tcPr>
          <w:p w14:paraId="734001BC" w14:textId="77777777" w:rsidR="001E1535" w:rsidRDefault="001E1535" w:rsidP="004E1973"/>
        </w:tc>
        <w:tc>
          <w:tcPr>
            <w:tcW w:w="1056" w:type="dxa"/>
          </w:tcPr>
          <w:p w14:paraId="798F799C" w14:textId="10197735" w:rsidR="001E1535" w:rsidRDefault="00412F2E" w:rsidP="004E1973">
            <w:r>
              <w:t>8</w:t>
            </w:r>
          </w:p>
        </w:tc>
      </w:tr>
      <w:tr w:rsidR="001E1535" w14:paraId="7BE76F46" w14:textId="77777777" w:rsidTr="00A356EF">
        <w:trPr>
          <w:trHeight w:val="784"/>
          <w:jc w:val="center"/>
        </w:trPr>
        <w:tc>
          <w:tcPr>
            <w:tcW w:w="3145" w:type="dxa"/>
          </w:tcPr>
          <w:p w14:paraId="043E3181" w14:textId="77777777" w:rsidR="001E1535" w:rsidRDefault="001E1535" w:rsidP="004E1973">
            <w:r>
              <w:t>Spare tyre – rear wheel</w:t>
            </w:r>
          </w:p>
        </w:tc>
        <w:tc>
          <w:tcPr>
            <w:tcW w:w="1260" w:type="dxa"/>
          </w:tcPr>
          <w:p w14:paraId="60FDC9E0" w14:textId="77777777" w:rsidR="001E1535" w:rsidRDefault="001E1535" w:rsidP="004E1973">
            <w:r>
              <w:t>1 tyre</w:t>
            </w:r>
          </w:p>
        </w:tc>
        <w:tc>
          <w:tcPr>
            <w:tcW w:w="949" w:type="dxa"/>
          </w:tcPr>
          <w:p w14:paraId="03367011" w14:textId="77777777" w:rsidR="001E1535" w:rsidRDefault="001E1535" w:rsidP="004E1973"/>
        </w:tc>
        <w:tc>
          <w:tcPr>
            <w:tcW w:w="1056" w:type="dxa"/>
          </w:tcPr>
          <w:p w14:paraId="5A75FFE9" w14:textId="3A728AC6" w:rsidR="001E1535" w:rsidRDefault="00412F2E" w:rsidP="004E1973">
            <w:r>
              <w:t>8</w:t>
            </w:r>
          </w:p>
        </w:tc>
      </w:tr>
      <w:tr w:rsidR="001E1535" w14:paraId="22DE0173" w14:textId="77777777" w:rsidTr="00A356EF">
        <w:trPr>
          <w:trHeight w:val="784"/>
          <w:jc w:val="center"/>
        </w:trPr>
        <w:tc>
          <w:tcPr>
            <w:tcW w:w="3145" w:type="dxa"/>
          </w:tcPr>
          <w:p w14:paraId="78A4DB45" w14:textId="6A963951" w:rsidR="001E1535" w:rsidRDefault="00E42F7A" w:rsidP="004E1973">
            <w:r>
              <w:t>Unpacking</w:t>
            </w:r>
            <w:r w:rsidR="001E1535">
              <w:t xml:space="preserve"> and commissioning in Tuvalu</w:t>
            </w:r>
          </w:p>
        </w:tc>
        <w:tc>
          <w:tcPr>
            <w:tcW w:w="1260" w:type="dxa"/>
          </w:tcPr>
          <w:p w14:paraId="677CD63B" w14:textId="77777777" w:rsidR="001E1535" w:rsidRDefault="001E1535" w:rsidP="004E1973">
            <w:r>
              <w:t>1 set</w:t>
            </w:r>
          </w:p>
        </w:tc>
        <w:tc>
          <w:tcPr>
            <w:tcW w:w="949" w:type="dxa"/>
          </w:tcPr>
          <w:p w14:paraId="3B33927D" w14:textId="77777777" w:rsidR="001E1535" w:rsidRDefault="001E1535" w:rsidP="004E1973"/>
        </w:tc>
        <w:tc>
          <w:tcPr>
            <w:tcW w:w="1056" w:type="dxa"/>
          </w:tcPr>
          <w:p w14:paraId="4487A552" w14:textId="5538A4EE" w:rsidR="001E1535" w:rsidRDefault="00275962" w:rsidP="004E1973">
            <w:r>
              <w:t>1</w:t>
            </w:r>
          </w:p>
        </w:tc>
      </w:tr>
      <w:tr w:rsidR="001E1535" w14:paraId="732AB46D" w14:textId="77777777" w:rsidTr="00A356EF">
        <w:trPr>
          <w:trHeight w:val="784"/>
          <w:jc w:val="center"/>
        </w:trPr>
        <w:tc>
          <w:tcPr>
            <w:tcW w:w="3145" w:type="dxa"/>
          </w:tcPr>
          <w:p w14:paraId="39EA5745" w14:textId="77777777" w:rsidR="001E1535" w:rsidRDefault="001E1535" w:rsidP="004E1973">
            <w:r>
              <w:t>1</w:t>
            </w:r>
            <w:r w:rsidRPr="00004DC6">
              <w:rPr>
                <w:vertAlign w:val="superscript"/>
              </w:rPr>
              <w:t>st</w:t>
            </w:r>
            <w:r>
              <w:t xml:space="preserve"> Training with operation and maintenance manuals in Tuvalu</w:t>
            </w:r>
          </w:p>
          <w:p w14:paraId="6E22B846" w14:textId="77777777" w:rsidR="001E1535" w:rsidRDefault="001E1535" w:rsidP="004E1973">
            <w:r>
              <w:t xml:space="preserve">At least 3 days plus travel and </w:t>
            </w:r>
            <w:r>
              <w:lastRenderedPageBreak/>
              <w:t>accommodation</w:t>
            </w:r>
          </w:p>
        </w:tc>
        <w:tc>
          <w:tcPr>
            <w:tcW w:w="1260" w:type="dxa"/>
          </w:tcPr>
          <w:p w14:paraId="450436D6" w14:textId="77777777" w:rsidR="001E1535" w:rsidRDefault="001E1535" w:rsidP="004E1973">
            <w:r>
              <w:lastRenderedPageBreak/>
              <w:t>1 set</w:t>
            </w:r>
          </w:p>
        </w:tc>
        <w:tc>
          <w:tcPr>
            <w:tcW w:w="949" w:type="dxa"/>
          </w:tcPr>
          <w:p w14:paraId="4DB88EAD" w14:textId="77777777" w:rsidR="001E1535" w:rsidRDefault="001E1535" w:rsidP="004E1973"/>
        </w:tc>
        <w:tc>
          <w:tcPr>
            <w:tcW w:w="1056" w:type="dxa"/>
          </w:tcPr>
          <w:p w14:paraId="3C466202" w14:textId="77777777" w:rsidR="001E1535" w:rsidRDefault="001E1535" w:rsidP="004E1973">
            <w:r>
              <w:t>1</w:t>
            </w:r>
          </w:p>
        </w:tc>
      </w:tr>
      <w:tr w:rsidR="001E1535" w14:paraId="5BA90D62" w14:textId="77777777" w:rsidTr="00A356EF">
        <w:trPr>
          <w:trHeight w:val="784"/>
          <w:jc w:val="center"/>
        </w:trPr>
        <w:tc>
          <w:tcPr>
            <w:tcW w:w="3145" w:type="dxa"/>
          </w:tcPr>
          <w:p w14:paraId="4858A14C" w14:textId="77777777" w:rsidR="001E1535" w:rsidRDefault="001E1535" w:rsidP="004E1973">
            <w:r>
              <w:lastRenderedPageBreak/>
              <w:t>2</w:t>
            </w:r>
            <w:r w:rsidRPr="00004DC6">
              <w:rPr>
                <w:vertAlign w:val="superscript"/>
              </w:rPr>
              <w:t>nd</w:t>
            </w:r>
            <w:r>
              <w:t xml:space="preserve"> Training with long-term maintenance recommendation report in Tuvalu</w:t>
            </w:r>
          </w:p>
          <w:p w14:paraId="0B30C970" w14:textId="53EAEF44" w:rsidR="001E1535" w:rsidRDefault="001E1535" w:rsidP="004E1973">
            <w:r>
              <w:t>At least 3 days</w:t>
            </w:r>
            <w:r w:rsidR="00CF0FA9">
              <w:t xml:space="preserve"> in Tuvalu</w:t>
            </w:r>
            <w:r>
              <w:t xml:space="preserve"> plus travel and accommodation</w:t>
            </w:r>
          </w:p>
        </w:tc>
        <w:tc>
          <w:tcPr>
            <w:tcW w:w="1260" w:type="dxa"/>
          </w:tcPr>
          <w:p w14:paraId="69AC8595" w14:textId="77777777" w:rsidR="001E1535" w:rsidRDefault="001E1535" w:rsidP="004E1973">
            <w:r>
              <w:t>1 set</w:t>
            </w:r>
          </w:p>
        </w:tc>
        <w:tc>
          <w:tcPr>
            <w:tcW w:w="949" w:type="dxa"/>
          </w:tcPr>
          <w:p w14:paraId="1A8D924D" w14:textId="77777777" w:rsidR="001E1535" w:rsidRDefault="001E1535" w:rsidP="004E1973"/>
        </w:tc>
        <w:tc>
          <w:tcPr>
            <w:tcW w:w="1056" w:type="dxa"/>
          </w:tcPr>
          <w:p w14:paraId="44326066" w14:textId="77777777" w:rsidR="001E1535" w:rsidRDefault="001E1535" w:rsidP="004E1973">
            <w:r>
              <w:t>1</w:t>
            </w:r>
          </w:p>
        </w:tc>
      </w:tr>
      <w:tr w:rsidR="001E1535" w14:paraId="79CCCFCC" w14:textId="77777777" w:rsidTr="00A356EF">
        <w:trPr>
          <w:trHeight w:val="784"/>
          <w:jc w:val="center"/>
        </w:trPr>
        <w:tc>
          <w:tcPr>
            <w:tcW w:w="3145" w:type="dxa"/>
          </w:tcPr>
          <w:p w14:paraId="7F734AC1" w14:textId="0D0CDFDD" w:rsidR="001E1535" w:rsidRDefault="001E1535" w:rsidP="004E1973">
            <w:r>
              <w:t>Helmet (half</w:t>
            </w:r>
            <w:r w:rsidR="00CC010B">
              <w:t>/</w:t>
            </w:r>
            <w:r w:rsidR="00CC010B" w:rsidRPr="00A356EF">
              <w:t>open face</w:t>
            </w:r>
            <w:r>
              <w:t xml:space="preserve"> type)</w:t>
            </w:r>
            <w:r w:rsidR="00986D7C">
              <w:t xml:space="preserve"> </w:t>
            </w:r>
          </w:p>
        </w:tc>
        <w:tc>
          <w:tcPr>
            <w:tcW w:w="1260" w:type="dxa"/>
          </w:tcPr>
          <w:p w14:paraId="0507CC5F" w14:textId="061C6676" w:rsidR="001E1535" w:rsidRDefault="00A356EF" w:rsidP="004E1973">
            <w:r>
              <w:t>1 helmet</w:t>
            </w:r>
          </w:p>
        </w:tc>
        <w:tc>
          <w:tcPr>
            <w:tcW w:w="949" w:type="dxa"/>
          </w:tcPr>
          <w:p w14:paraId="17380E8A" w14:textId="77777777" w:rsidR="001E1535" w:rsidRDefault="001E1535" w:rsidP="004E1973"/>
        </w:tc>
        <w:tc>
          <w:tcPr>
            <w:tcW w:w="1056" w:type="dxa"/>
          </w:tcPr>
          <w:p w14:paraId="5C92762F" w14:textId="58DC710E" w:rsidR="001E1535" w:rsidRDefault="00712420" w:rsidP="004E1973">
            <w:r w:rsidRPr="00261362">
              <w:t>24</w:t>
            </w:r>
          </w:p>
        </w:tc>
      </w:tr>
    </w:tbl>
    <w:p w14:paraId="6D1AA10D" w14:textId="77777777" w:rsidR="001E1535" w:rsidRDefault="001E1535" w:rsidP="00CC644A">
      <w:pPr>
        <w:jc w:val="both"/>
        <w:rPr>
          <w:iCs/>
        </w:rPr>
      </w:pPr>
    </w:p>
    <w:p w14:paraId="2EC29224" w14:textId="187D1470" w:rsidR="00CC644A" w:rsidRDefault="001E1535" w:rsidP="00CC644A">
      <w:pPr>
        <w:jc w:val="both"/>
        <w:rPr>
          <w:iCs/>
        </w:rPr>
      </w:pPr>
      <w:r>
        <w:rPr>
          <w:iCs/>
        </w:rPr>
        <w:t xml:space="preserve">The technical specifications </w:t>
      </w:r>
      <w:r w:rsidR="00AF397C">
        <w:rPr>
          <w:iCs/>
        </w:rPr>
        <w:t>is attached to this invitation</w:t>
      </w:r>
    </w:p>
    <w:p w14:paraId="14DF3FC1" w14:textId="77777777" w:rsidR="00CC644A" w:rsidRPr="00912A12" w:rsidRDefault="00CC644A" w:rsidP="00CC644A">
      <w:pPr>
        <w:jc w:val="both"/>
        <w:rPr>
          <w:iCs/>
        </w:rPr>
      </w:pPr>
    </w:p>
    <w:p w14:paraId="320C646F" w14:textId="662F982C" w:rsidR="00726781" w:rsidRDefault="00CC644A" w:rsidP="00D47036">
      <w:pPr>
        <w:numPr>
          <w:ilvl w:val="0"/>
          <w:numId w:val="16"/>
        </w:numPr>
        <w:ind w:hanging="720"/>
        <w:jc w:val="both"/>
      </w:pPr>
      <w:r w:rsidRPr="00912A12">
        <w:t xml:space="preserve">You must quote for all the items under this Invitation.  </w:t>
      </w:r>
    </w:p>
    <w:p w14:paraId="4AEDC446" w14:textId="77777777" w:rsidR="00D47036" w:rsidRDefault="00D47036" w:rsidP="00D47036">
      <w:pPr>
        <w:ind w:left="720"/>
        <w:jc w:val="both"/>
      </w:pPr>
    </w:p>
    <w:p w14:paraId="5FD1E18B" w14:textId="0F1CECA5" w:rsidR="00CC644A" w:rsidRPr="00912A12" w:rsidRDefault="00CC644A" w:rsidP="00D47036">
      <w:pPr>
        <w:numPr>
          <w:ilvl w:val="0"/>
          <w:numId w:val="16"/>
        </w:numPr>
        <w:ind w:hanging="720"/>
        <w:jc w:val="both"/>
      </w:pPr>
      <w:r w:rsidRPr="00912A12">
        <w:t>Your price quotation in the form attached may be submitted by hand delivery, surface mail, courier service or electronically at the following address:</w:t>
      </w:r>
    </w:p>
    <w:p w14:paraId="11C68809" w14:textId="77777777" w:rsidR="00CC644A" w:rsidRPr="00912A12" w:rsidRDefault="00CC644A" w:rsidP="00A267E9">
      <w:pPr>
        <w:ind w:left="720" w:hanging="720"/>
        <w:jc w:val="both"/>
      </w:pPr>
    </w:p>
    <w:p w14:paraId="085D8263" w14:textId="2EADBB16" w:rsidR="00CC644A" w:rsidRPr="00912A12" w:rsidRDefault="00CC644A" w:rsidP="00A267E9">
      <w:pPr>
        <w:ind w:left="720" w:firstLine="90"/>
        <w:jc w:val="both"/>
      </w:pPr>
      <w:r w:rsidRPr="00912A12">
        <w:t xml:space="preserve">Attn: Mr </w:t>
      </w:r>
      <w:proofErr w:type="spellStart"/>
      <w:r w:rsidR="003717D2">
        <w:t>Mafalu</w:t>
      </w:r>
      <w:proofErr w:type="spellEnd"/>
      <w:r w:rsidR="003717D2">
        <w:t xml:space="preserve"> </w:t>
      </w:r>
      <w:proofErr w:type="spellStart"/>
      <w:r w:rsidR="003717D2">
        <w:t>Lotolua</w:t>
      </w:r>
      <w:proofErr w:type="spellEnd"/>
      <w:r w:rsidRPr="00912A12">
        <w:t xml:space="preserve">, </w:t>
      </w:r>
      <w:r w:rsidR="00A267E9">
        <w:t>General Manager</w:t>
      </w:r>
      <w:r w:rsidRPr="00912A12">
        <w:t xml:space="preserve">,    </w:t>
      </w:r>
    </w:p>
    <w:p w14:paraId="065FBD86" w14:textId="511E5002" w:rsidR="00CC644A" w:rsidRPr="00912A12" w:rsidRDefault="00CC644A" w:rsidP="00A267E9">
      <w:pPr>
        <w:ind w:left="720" w:firstLine="90"/>
        <w:jc w:val="both"/>
      </w:pPr>
      <w:r w:rsidRPr="00912A12">
        <w:t>T</w:t>
      </w:r>
      <w:r w:rsidR="00A267E9">
        <w:t>uvalu Electricity Corporation</w:t>
      </w:r>
    </w:p>
    <w:p w14:paraId="664DD568" w14:textId="77777777" w:rsidR="00A267E9" w:rsidRPr="002F630B" w:rsidRDefault="00A267E9" w:rsidP="00A267E9">
      <w:pPr>
        <w:ind w:left="720" w:firstLine="90"/>
        <w:rPr>
          <w:iCs/>
          <w:spacing w:val="-2"/>
        </w:rPr>
      </w:pPr>
      <w:r w:rsidRPr="002F630B">
        <w:rPr>
          <w:iCs/>
          <w:spacing w:val="-2"/>
        </w:rPr>
        <w:t>PO Box 32</w:t>
      </w:r>
    </w:p>
    <w:p w14:paraId="5300F2C9" w14:textId="77777777" w:rsidR="00A267E9" w:rsidRPr="002F630B" w:rsidRDefault="00A267E9" w:rsidP="00A267E9">
      <w:pPr>
        <w:ind w:left="720" w:firstLine="90"/>
        <w:rPr>
          <w:iCs/>
          <w:spacing w:val="-2"/>
        </w:rPr>
      </w:pPr>
      <w:proofErr w:type="spellStart"/>
      <w:r w:rsidRPr="002F630B">
        <w:rPr>
          <w:iCs/>
          <w:spacing w:val="-2"/>
        </w:rPr>
        <w:t>Vaiaku</w:t>
      </w:r>
      <w:proofErr w:type="spellEnd"/>
      <w:r w:rsidRPr="002F630B">
        <w:rPr>
          <w:iCs/>
          <w:spacing w:val="-2"/>
        </w:rPr>
        <w:t>, Funafuti</w:t>
      </w:r>
    </w:p>
    <w:p w14:paraId="666EFA75" w14:textId="77777777" w:rsidR="00A267E9" w:rsidRPr="002F630B" w:rsidRDefault="00A267E9" w:rsidP="00A267E9">
      <w:pPr>
        <w:suppressAutoHyphens/>
        <w:ind w:left="720" w:firstLine="90"/>
        <w:rPr>
          <w:iCs/>
          <w:spacing w:val="-2"/>
        </w:rPr>
      </w:pPr>
      <w:r w:rsidRPr="002F630B">
        <w:rPr>
          <w:iCs/>
          <w:spacing w:val="-2"/>
        </w:rPr>
        <w:t>Telephone + 688 20357</w:t>
      </w:r>
    </w:p>
    <w:p w14:paraId="4A8B5ADB" w14:textId="77777777" w:rsidR="00A267E9" w:rsidRDefault="00A267E9" w:rsidP="00A267E9">
      <w:pPr>
        <w:ind w:left="720" w:firstLine="90"/>
        <w:rPr>
          <w:rStyle w:val="Hyperlink"/>
        </w:rPr>
      </w:pPr>
      <w:r w:rsidRPr="002F630B">
        <w:rPr>
          <w:iCs/>
          <w:spacing w:val="-2"/>
        </w:rPr>
        <w:t>Email: </w:t>
      </w:r>
      <w:r w:rsidRPr="002F630B">
        <w:t xml:space="preserve"> </w:t>
      </w:r>
      <w:hyperlink r:id="rId9" w:history="1">
        <w:r>
          <w:rPr>
            <w:rStyle w:val="Hyperlink"/>
          </w:rPr>
          <w:t>mafaluloto2@gmail.com</w:t>
        </w:r>
      </w:hyperlink>
    </w:p>
    <w:p w14:paraId="4003AD36" w14:textId="21393324" w:rsidR="00C170DF" w:rsidRPr="00C170DF" w:rsidRDefault="00C170DF" w:rsidP="00A267E9">
      <w:pPr>
        <w:ind w:left="720" w:firstLine="90"/>
      </w:pPr>
      <w:bookmarkStart w:id="1" w:name="_Hlk24223513"/>
      <w:r w:rsidRPr="006C45B7">
        <w:rPr>
          <w:rStyle w:val="Hyperlink"/>
          <w:color w:val="auto"/>
          <w:u w:val="none"/>
        </w:rPr>
        <w:t xml:space="preserve">Please cc </w:t>
      </w:r>
      <w:hyperlink r:id="rId10" w:history="1">
        <w:r w:rsidRPr="00ED3E6C">
          <w:rPr>
            <w:rStyle w:val="Hyperlink"/>
          </w:rPr>
          <w:t>rapajyoung@gmail.com</w:t>
        </w:r>
      </w:hyperlink>
      <w:r>
        <w:rPr>
          <w:rStyle w:val="Hyperlink"/>
          <w:u w:val="none"/>
        </w:rPr>
        <w:t xml:space="preserve"> and </w:t>
      </w:r>
      <w:hyperlink r:id="rId11" w:history="1">
        <w:r w:rsidRPr="00ED3E6C">
          <w:rPr>
            <w:rStyle w:val="Hyperlink"/>
          </w:rPr>
          <w:t>jorgecavero@ecytbolivia.com</w:t>
        </w:r>
      </w:hyperlink>
      <w:r>
        <w:rPr>
          <w:rStyle w:val="Hyperlink"/>
          <w:u w:val="none"/>
        </w:rPr>
        <w:t xml:space="preserve"> </w:t>
      </w:r>
    </w:p>
    <w:bookmarkEnd w:id="1"/>
    <w:p w14:paraId="169C942C" w14:textId="41E20312" w:rsidR="00726781" w:rsidRDefault="00726781" w:rsidP="00726781">
      <w:pPr>
        <w:jc w:val="both"/>
        <w:rPr>
          <w:spacing w:val="-2"/>
        </w:rPr>
      </w:pPr>
    </w:p>
    <w:p w14:paraId="3CE7CE31" w14:textId="01A95D1F" w:rsidR="006C45B7" w:rsidRDefault="006C45B7" w:rsidP="006C45B7">
      <w:pPr>
        <w:ind w:left="720"/>
        <w:jc w:val="both"/>
      </w:pPr>
      <w:r w:rsidRPr="008A67BD">
        <w:t xml:space="preserve">Each bidder shall submit only one quotation, either individually, or as a partner in a joint venture. All quotations submitted in violation of this rule shall be rejected.  Partners in a joint venture shall be jointly and severally liable for the execution of the contract. </w:t>
      </w:r>
    </w:p>
    <w:p w14:paraId="63A1FB97" w14:textId="77777777" w:rsidR="006C45B7" w:rsidRDefault="006C45B7" w:rsidP="00726781">
      <w:pPr>
        <w:jc w:val="both"/>
        <w:rPr>
          <w:spacing w:val="-2"/>
        </w:rPr>
      </w:pPr>
    </w:p>
    <w:p w14:paraId="0F2CEE60" w14:textId="46AE8C79" w:rsidR="00726781" w:rsidRPr="00AF397C" w:rsidRDefault="00726781" w:rsidP="00D47036">
      <w:pPr>
        <w:pStyle w:val="ListParagraph"/>
        <w:numPr>
          <w:ilvl w:val="0"/>
          <w:numId w:val="16"/>
        </w:numPr>
        <w:tabs>
          <w:tab w:val="left" w:pos="0"/>
        </w:tabs>
        <w:spacing w:after="120"/>
        <w:ind w:left="810" w:hanging="720"/>
        <w:jc w:val="both"/>
        <w:rPr>
          <w:rFonts w:ascii="Times New Roman" w:hAnsi="Times New Roman"/>
        </w:rPr>
      </w:pPr>
      <w:r w:rsidRPr="00726781">
        <w:rPr>
          <w:rFonts w:ascii="Times New Roman" w:hAnsi="Times New Roman"/>
          <w:spacing w:val="-2"/>
        </w:rPr>
        <w:t>T</w:t>
      </w:r>
      <w:r w:rsidR="00CC644A" w:rsidRPr="00726781">
        <w:rPr>
          <w:rFonts w:ascii="Times New Roman" w:hAnsi="Times New Roman"/>
        </w:rPr>
        <w:t xml:space="preserve">he deadline for receipt of your quotation (s) by the Purchaser at the addresses indicated in above Paragraph 3 is </w:t>
      </w:r>
      <w:r w:rsidR="00261362">
        <w:rPr>
          <w:rFonts w:ascii="Times New Roman" w:hAnsi="Times New Roman"/>
          <w:b/>
        </w:rPr>
        <w:t>1</w:t>
      </w:r>
      <w:r w:rsidR="000937F6">
        <w:rPr>
          <w:rFonts w:ascii="Times New Roman" w:hAnsi="Times New Roman"/>
          <w:b/>
        </w:rPr>
        <w:t>3</w:t>
      </w:r>
      <w:r w:rsidR="000937F6" w:rsidRPr="000937F6">
        <w:rPr>
          <w:rFonts w:ascii="Times New Roman" w:hAnsi="Times New Roman"/>
          <w:b/>
          <w:vertAlign w:val="superscript"/>
        </w:rPr>
        <w:t>th</w:t>
      </w:r>
      <w:r w:rsidR="000937F6">
        <w:rPr>
          <w:rFonts w:ascii="Times New Roman" w:hAnsi="Times New Roman"/>
          <w:b/>
        </w:rPr>
        <w:t xml:space="preserve"> </w:t>
      </w:r>
      <w:r w:rsidR="00261362">
        <w:rPr>
          <w:rFonts w:ascii="Times New Roman" w:hAnsi="Times New Roman"/>
          <w:b/>
        </w:rPr>
        <w:t>Ju</w:t>
      </w:r>
      <w:r w:rsidR="000937F6">
        <w:rPr>
          <w:rFonts w:ascii="Times New Roman" w:hAnsi="Times New Roman"/>
          <w:b/>
        </w:rPr>
        <w:t>ly</w:t>
      </w:r>
      <w:r w:rsidR="00261362">
        <w:rPr>
          <w:rFonts w:ascii="Times New Roman" w:hAnsi="Times New Roman"/>
          <w:b/>
        </w:rPr>
        <w:t xml:space="preserve"> 2021</w:t>
      </w:r>
    </w:p>
    <w:p w14:paraId="34B0EB7E" w14:textId="77777777" w:rsidR="00726781" w:rsidRPr="00726781" w:rsidRDefault="00726781" w:rsidP="00A267E9">
      <w:pPr>
        <w:pStyle w:val="ListParagraph"/>
        <w:tabs>
          <w:tab w:val="left" w:pos="0"/>
        </w:tabs>
        <w:spacing w:after="120"/>
        <w:ind w:left="810" w:hanging="720"/>
        <w:jc w:val="both"/>
        <w:rPr>
          <w:rFonts w:ascii="Times New Roman" w:hAnsi="Times New Roman"/>
        </w:rPr>
      </w:pPr>
    </w:p>
    <w:p w14:paraId="44D3F242" w14:textId="07A909F1" w:rsidR="00726781" w:rsidRPr="006C45B7" w:rsidRDefault="00CC644A" w:rsidP="00D47036">
      <w:pPr>
        <w:pStyle w:val="ListParagraph"/>
        <w:numPr>
          <w:ilvl w:val="0"/>
          <w:numId w:val="16"/>
        </w:numPr>
        <w:tabs>
          <w:tab w:val="left" w:pos="0"/>
        </w:tabs>
        <w:spacing w:after="120"/>
        <w:ind w:left="810" w:hanging="720"/>
        <w:jc w:val="both"/>
        <w:rPr>
          <w:rFonts w:ascii="Times New Roman" w:hAnsi="Times New Roman"/>
          <w:spacing w:val="-2"/>
        </w:rPr>
      </w:pPr>
      <w:r w:rsidRPr="006C45B7">
        <w:rPr>
          <w:rFonts w:ascii="Times New Roman" w:hAnsi="Times New Roman"/>
          <w:spacing w:val="-2"/>
        </w:rPr>
        <w:t xml:space="preserve">Your quotation in duplicate and in </w:t>
      </w:r>
      <w:proofErr w:type="gramStart"/>
      <w:r w:rsidRPr="006C45B7">
        <w:rPr>
          <w:rFonts w:ascii="Times New Roman" w:hAnsi="Times New Roman"/>
          <w:spacing w:val="-2"/>
        </w:rPr>
        <w:t>English,</w:t>
      </w:r>
      <w:proofErr w:type="gramEnd"/>
      <w:r w:rsidRPr="006C45B7">
        <w:rPr>
          <w:rFonts w:ascii="Times New Roman" w:hAnsi="Times New Roman"/>
          <w:spacing w:val="-2"/>
        </w:rPr>
        <w:t xml:space="preserve"> should be accompanied by adequate technical documentation and catalogue(s) and other printed material or pertinent information for each item quoted, including names and addresses of firms providing service facilities in T</w:t>
      </w:r>
      <w:r w:rsidR="00FB3BFD" w:rsidRPr="006C45B7">
        <w:rPr>
          <w:rFonts w:ascii="Times New Roman" w:hAnsi="Times New Roman"/>
          <w:spacing w:val="-2"/>
        </w:rPr>
        <w:t>uvalu</w:t>
      </w:r>
      <w:r w:rsidRPr="006C45B7">
        <w:rPr>
          <w:rFonts w:ascii="Times New Roman" w:hAnsi="Times New Roman"/>
          <w:spacing w:val="-2"/>
        </w:rPr>
        <w:t>.</w:t>
      </w:r>
    </w:p>
    <w:p w14:paraId="64A6CD90" w14:textId="77777777" w:rsidR="00726781" w:rsidRDefault="00726781" w:rsidP="00726781">
      <w:pPr>
        <w:pStyle w:val="ListParagraph"/>
      </w:pPr>
    </w:p>
    <w:p w14:paraId="649BFF75" w14:textId="1201A86B" w:rsidR="00CC644A" w:rsidRPr="006C45B7" w:rsidRDefault="00CC644A" w:rsidP="00D47036">
      <w:pPr>
        <w:pStyle w:val="ListParagraph"/>
        <w:numPr>
          <w:ilvl w:val="0"/>
          <w:numId w:val="16"/>
        </w:numPr>
        <w:tabs>
          <w:tab w:val="left" w:pos="0"/>
        </w:tabs>
        <w:spacing w:after="120"/>
        <w:ind w:left="810" w:hanging="720"/>
        <w:jc w:val="both"/>
        <w:rPr>
          <w:rFonts w:ascii="Times New Roman" w:hAnsi="Times New Roman"/>
          <w:spacing w:val="-2"/>
        </w:rPr>
      </w:pPr>
      <w:r w:rsidRPr="006C45B7">
        <w:rPr>
          <w:rFonts w:ascii="Times New Roman" w:hAnsi="Times New Roman"/>
          <w:spacing w:val="-2"/>
        </w:rPr>
        <w:t>Your quotation(s) should be submitted as per the following instructions and in accordance with the attached Contract. The attached Terms and Conditions of Supply is an integral part of the Contract.</w:t>
      </w:r>
    </w:p>
    <w:p w14:paraId="4FA414DA" w14:textId="77777777" w:rsidR="00CC644A" w:rsidRPr="00912A12" w:rsidRDefault="00CC644A" w:rsidP="00CC644A">
      <w:pPr>
        <w:jc w:val="both"/>
      </w:pPr>
    </w:p>
    <w:p w14:paraId="1658E7CA" w14:textId="1A9C0AAB" w:rsidR="00C170DF" w:rsidRPr="00E72184" w:rsidRDefault="00C170DF" w:rsidP="00C170DF">
      <w:pPr>
        <w:pStyle w:val="NoSpacing"/>
        <w:ind w:left="567"/>
        <w:jc w:val="both"/>
        <w:rPr>
          <w:rFonts w:ascii="Times New Roman" w:hAnsi="Times New Roman"/>
          <w:sz w:val="24"/>
          <w:szCs w:val="24"/>
        </w:rPr>
      </w:pPr>
      <w:r w:rsidRPr="00262EEF">
        <w:rPr>
          <w:rFonts w:ascii="Times New Roman" w:hAnsi="Times New Roman"/>
          <w:sz w:val="24"/>
          <w:szCs w:val="24"/>
          <w:u w:val="single"/>
        </w:rPr>
        <w:t>(</w:t>
      </w:r>
      <w:proofErr w:type="spellStart"/>
      <w:r w:rsidRPr="00262EEF">
        <w:rPr>
          <w:rFonts w:ascii="Times New Roman" w:hAnsi="Times New Roman"/>
          <w:sz w:val="24"/>
          <w:szCs w:val="24"/>
          <w:u w:val="single"/>
        </w:rPr>
        <w:t>i</w:t>
      </w:r>
      <w:proofErr w:type="spellEnd"/>
      <w:r w:rsidRPr="00262EEF">
        <w:rPr>
          <w:rFonts w:ascii="Times New Roman" w:hAnsi="Times New Roman"/>
          <w:sz w:val="24"/>
          <w:szCs w:val="24"/>
          <w:u w:val="single"/>
        </w:rPr>
        <w:t>) PRICES</w:t>
      </w:r>
      <w:r w:rsidRPr="00262EEF">
        <w:rPr>
          <w:rFonts w:ascii="Times New Roman" w:hAnsi="Times New Roman"/>
          <w:sz w:val="24"/>
          <w:szCs w:val="24"/>
        </w:rPr>
        <w:t xml:space="preserve">: Your quotation and prices can be quoted in up to three foreign currencies </w:t>
      </w:r>
      <w:r w:rsidRPr="00E72184">
        <w:rPr>
          <w:rFonts w:ascii="Times New Roman" w:hAnsi="Times New Roman"/>
          <w:sz w:val="24"/>
          <w:szCs w:val="24"/>
        </w:rPr>
        <w:t xml:space="preserve">for the total cost </w:t>
      </w:r>
      <w:r>
        <w:rPr>
          <w:rFonts w:ascii="Times New Roman" w:hAnsi="Times New Roman"/>
          <w:sz w:val="24"/>
          <w:szCs w:val="24"/>
        </w:rPr>
        <w:t xml:space="preserve">CIP </w:t>
      </w:r>
      <w:r w:rsidRPr="00A76060">
        <w:rPr>
          <w:rFonts w:ascii="Times New Roman" w:hAnsi="Times New Roman"/>
          <w:sz w:val="24"/>
          <w:szCs w:val="24"/>
        </w:rPr>
        <w:t>Funafuti including installation at final destination - the TEC Office</w:t>
      </w:r>
      <w:r w:rsidR="00E65465" w:rsidRPr="00A76060">
        <w:rPr>
          <w:rFonts w:ascii="Times New Roman" w:hAnsi="Times New Roman"/>
          <w:sz w:val="24"/>
          <w:szCs w:val="24"/>
        </w:rPr>
        <w:t xml:space="preserve"> </w:t>
      </w:r>
      <w:r>
        <w:rPr>
          <w:rFonts w:ascii="Times New Roman" w:hAnsi="Times New Roman"/>
          <w:sz w:val="24"/>
          <w:szCs w:val="24"/>
        </w:rPr>
        <w:t xml:space="preserve">The TEC will be responsible for all local taxes, VAT and </w:t>
      </w:r>
      <w:r w:rsidRPr="00E72184">
        <w:rPr>
          <w:rFonts w:ascii="Times New Roman" w:hAnsi="Times New Roman"/>
          <w:sz w:val="24"/>
          <w:szCs w:val="24"/>
        </w:rPr>
        <w:t xml:space="preserve">custom duties </w:t>
      </w:r>
      <w:r>
        <w:rPr>
          <w:rFonts w:ascii="Times New Roman" w:hAnsi="Times New Roman"/>
          <w:sz w:val="24"/>
          <w:szCs w:val="24"/>
        </w:rPr>
        <w:t xml:space="preserve">including clearance of equipment from the port of entry. </w:t>
      </w:r>
    </w:p>
    <w:p w14:paraId="65AC95A8" w14:textId="77777777" w:rsidR="00C170DF" w:rsidRDefault="00C170DF" w:rsidP="00C170DF">
      <w:pPr>
        <w:pStyle w:val="NoSpacing"/>
        <w:jc w:val="both"/>
        <w:rPr>
          <w:rFonts w:ascii="Times New Roman" w:hAnsi="Times New Roman"/>
          <w:sz w:val="24"/>
          <w:szCs w:val="24"/>
        </w:rPr>
      </w:pPr>
    </w:p>
    <w:p w14:paraId="084751F6" w14:textId="519E73C7" w:rsidR="00C170DF" w:rsidRPr="00C22DCD" w:rsidRDefault="00C170DF" w:rsidP="00C170DF">
      <w:pPr>
        <w:pStyle w:val="NoSpacing"/>
        <w:ind w:left="567"/>
        <w:jc w:val="both"/>
        <w:rPr>
          <w:rFonts w:ascii="Times New Roman" w:hAnsi="Times New Roman"/>
          <w:sz w:val="24"/>
          <w:szCs w:val="24"/>
        </w:rPr>
      </w:pPr>
      <w:r w:rsidRPr="00C22DCD">
        <w:rPr>
          <w:rFonts w:ascii="Times New Roman" w:hAnsi="Times New Roman"/>
          <w:sz w:val="24"/>
          <w:szCs w:val="24"/>
        </w:rPr>
        <w:lastRenderedPageBreak/>
        <w:t>For evaluation purpose, all</w:t>
      </w:r>
      <w:r w:rsidR="006C45B7">
        <w:rPr>
          <w:rFonts w:ascii="Times New Roman" w:hAnsi="Times New Roman"/>
          <w:sz w:val="24"/>
          <w:szCs w:val="24"/>
        </w:rPr>
        <w:t xml:space="preserve"> the quotes will be converted to</w:t>
      </w:r>
      <w:r w:rsidRPr="00C22DCD">
        <w:rPr>
          <w:rFonts w:ascii="Times New Roman" w:hAnsi="Times New Roman"/>
          <w:sz w:val="24"/>
          <w:szCs w:val="24"/>
        </w:rPr>
        <w:t xml:space="preserve"> A</w:t>
      </w:r>
      <w:r>
        <w:rPr>
          <w:rFonts w:ascii="Times New Roman" w:hAnsi="Times New Roman"/>
          <w:sz w:val="24"/>
          <w:szCs w:val="24"/>
        </w:rPr>
        <w:t xml:space="preserve">ustralian </w:t>
      </w:r>
      <w:r w:rsidRPr="00C22DCD">
        <w:rPr>
          <w:rFonts w:ascii="Times New Roman" w:hAnsi="Times New Roman"/>
          <w:sz w:val="24"/>
          <w:szCs w:val="24"/>
        </w:rPr>
        <w:t xml:space="preserve">Dollars. The official source of the exchange rate is the Mid-market rates provided by the “XE Currency Converter” at </w:t>
      </w:r>
      <w:hyperlink r:id="rId12" w:history="1">
        <w:r w:rsidRPr="00C22DCD">
          <w:rPr>
            <w:rStyle w:val="Hyperlink"/>
            <w:rFonts w:eastAsiaTheme="majorEastAsia"/>
            <w:color w:val="000000" w:themeColor="text1"/>
          </w:rPr>
          <w:t>www.xe.com</w:t>
        </w:r>
      </w:hyperlink>
      <w:r w:rsidRPr="00C22DCD">
        <w:rPr>
          <w:rFonts w:ascii="Times New Roman" w:hAnsi="Times New Roman"/>
          <w:sz w:val="24"/>
          <w:szCs w:val="24"/>
        </w:rPr>
        <w:t>; the date and time of the exchange rate is 14 days before the deadline for submission of proposals at 16.00 UTC.</w:t>
      </w:r>
    </w:p>
    <w:p w14:paraId="331FFB99" w14:textId="77777777" w:rsidR="00C170DF" w:rsidRPr="00C22DCD" w:rsidRDefault="00C170DF" w:rsidP="00C170DF">
      <w:pPr>
        <w:pStyle w:val="NoSpacing"/>
        <w:ind w:left="567"/>
        <w:rPr>
          <w:rFonts w:ascii="Times New Roman" w:hAnsi="Times New Roman"/>
          <w:sz w:val="24"/>
          <w:szCs w:val="24"/>
        </w:rPr>
      </w:pPr>
    </w:p>
    <w:p w14:paraId="6D03DD05" w14:textId="77777777" w:rsidR="00C170DF" w:rsidRPr="00C22DCD" w:rsidRDefault="00C170DF" w:rsidP="00C170DF">
      <w:pPr>
        <w:pStyle w:val="NoSpacing"/>
        <w:ind w:left="567"/>
        <w:rPr>
          <w:rFonts w:ascii="Times New Roman" w:hAnsi="Times New Roman"/>
          <w:sz w:val="24"/>
          <w:szCs w:val="24"/>
        </w:rPr>
      </w:pPr>
      <w:r w:rsidRPr="00C22DCD">
        <w:rPr>
          <w:rFonts w:ascii="Times New Roman" w:hAnsi="Times New Roman"/>
          <w:sz w:val="24"/>
          <w:szCs w:val="24"/>
          <w:u w:val="single"/>
        </w:rPr>
        <w:t>(ii) EVALUATION OF QUOTATIONS</w:t>
      </w:r>
      <w:r w:rsidRPr="00C22DCD">
        <w:rPr>
          <w:rFonts w:ascii="Times New Roman" w:hAnsi="Times New Roman"/>
          <w:sz w:val="24"/>
          <w:szCs w:val="24"/>
        </w:rPr>
        <w:t xml:space="preserve">: </w:t>
      </w:r>
      <w:r w:rsidRPr="00117ED8">
        <w:rPr>
          <w:rFonts w:ascii="Times New Roman" w:hAnsi="Times New Roman"/>
          <w:sz w:val="24"/>
          <w:szCs w:val="24"/>
        </w:rPr>
        <w:t xml:space="preserve">Price quotations will be evaluated for all the items together and contract awarded to the firm offering the lowest evaluated total cost of all the items. </w:t>
      </w:r>
      <w:r>
        <w:rPr>
          <w:rFonts w:ascii="Times New Roman" w:hAnsi="Times New Roman"/>
          <w:sz w:val="24"/>
          <w:szCs w:val="24"/>
        </w:rPr>
        <w:t>Quote</w:t>
      </w:r>
      <w:r w:rsidRPr="00C22DCD">
        <w:rPr>
          <w:rFonts w:ascii="Times New Roman" w:hAnsi="Times New Roman"/>
          <w:sz w:val="24"/>
          <w:szCs w:val="24"/>
        </w:rPr>
        <w:t>s determined to be substantially responsive to the technical specifications will be evaluated by comparison of the total price as per (</w:t>
      </w:r>
      <w:proofErr w:type="spellStart"/>
      <w:r w:rsidRPr="00C22DCD">
        <w:rPr>
          <w:rFonts w:ascii="Times New Roman" w:hAnsi="Times New Roman"/>
          <w:sz w:val="24"/>
          <w:szCs w:val="24"/>
        </w:rPr>
        <w:t>i</w:t>
      </w:r>
      <w:proofErr w:type="spellEnd"/>
      <w:r w:rsidRPr="00C22DCD">
        <w:rPr>
          <w:rFonts w:ascii="Times New Roman" w:hAnsi="Times New Roman"/>
          <w:sz w:val="24"/>
          <w:szCs w:val="24"/>
        </w:rPr>
        <w:t xml:space="preserve">) above. </w:t>
      </w:r>
    </w:p>
    <w:p w14:paraId="4842EABF" w14:textId="77777777" w:rsidR="00C170DF" w:rsidRPr="00C22DCD" w:rsidRDefault="00C170DF" w:rsidP="00C170DF">
      <w:pPr>
        <w:pStyle w:val="NoSpacing"/>
        <w:ind w:left="567"/>
        <w:rPr>
          <w:rFonts w:ascii="Times New Roman" w:hAnsi="Times New Roman"/>
          <w:sz w:val="24"/>
          <w:szCs w:val="24"/>
        </w:rPr>
      </w:pPr>
    </w:p>
    <w:p w14:paraId="4A348ACF" w14:textId="77777777" w:rsidR="00C170DF" w:rsidRPr="00C22DCD" w:rsidRDefault="00C170DF" w:rsidP="00C170DF">
      <w:pPr>
        <w:pStyle w:val="NoSpacing"/>
        <w:ind w:left="567"/>
        <w:jc w:val="both"/>
        <w:rPr>
          <w:rFonts w:ascii="Times New Roman" w:hAnsi="Times New Roman"/>
          <w:sz w:val="24"/>
          <w:szCs w:val="24"/>
        </w:rPr>
      </w:pPr>
      <w:r w:rsidRPr="00C22DCD">
        <w:rPr>
          <w:rFonts w:ascii="Times New Roman" w:hAnsi="Times New Roman"/>
          <w:sz w:val="24"/>
          <w:szCs w:val="24"/>
        </w:rPr>
        <w:t xml:space="preserve">In evaluating the quotations, the Purchaser will determine for each bid the evaluated price by adjusting the price quotation by making any correction for any arithmetical errors as follows: </w:t>
      </w:r>
    </w:p>
    <w:p w14:paraId="5CBE16D7" w14:textId="77777777" w:rsidR="00C170DF" w:rsidRPr="00C22DCD" w:rsidRDefault="00C170DF" w:rsidP="00C170DF">
      <w:pPr>
        <w:pStyle w:val="NoSpacing"/>
        <w:ind w:left="567"/>
        <w:rPr>
          <w:rFonts w:ascii="Times New Roman" w:hAnsi="Times New Roman"/>
          <w:sz w:val="24"/>
          <w:szCs w:val="24"/>
        </w:rPr>
      </w:pPr>
      <w:r w:rsidRPr="00C22DCD">
        <w:rPr>
          <w:rFonts w:ascii="Times New Roman" w:hAnsi="Times New Roman"/>
          <w:sz w:val="24"/>
          <w:szCs w:val="24"/>
        </w:rPr>
        <w:t xml:space="preserve">a) </w:t>
      </w:r>
      <w:proofErr w:type="gramStart"/>
      <w:r w:rsidRPr="00C22DCD">
        <w:rPr>
          <w:rFonts w:ascii="Times New Roman" w:hAnsi="Times New Roman"/>
          <w:sz w:val="24"/>
          <w:szCs w:val="24"/>
        </w:rPr>
        <w:t>where</w:t>
      </w:r>
      <w:proofErr w:type="gramEnd"/>
      <w:r w:rsidRPr="00C22DCD">
        <w:rPr>
          <w:rFonts w:ascii="Times New Roman" w:hAnsi="Times New Roman"/>
          <w:sz w:val="24"/>
          <w:szCs w:val="24"/>
        </w:rPr>
        <w:t xml:space="preserve"> there is a discrepancy between amounts in figures and in words, the amount in words will govern; </w:t>
      </w:r>
    </w:p>
    <w:p w14:paraId="037F28AD" w14:textId="2FAB18F3" w:rsidR="00C170DF" w:rsidRPr="00C22DCD" w:rsidRDefault="00C170DF" w:rsidP="00C170DF">
      <w:pPr>
        <w:pStyle w:val="NoSpacing"/>
        <w:ind w:left="567"/>
        <w:rPr>
          <w:rFonts w:ascii="Times New Roman" w:hAnsi="Times New Roman"/>
          <w:sz w:val="24"/>
          <w:szCs w:val="24"/>
        </w:rPr>
      </w:pPr>
      <w:r w:rsidRPr="00C22DCD">
        <w:rPr>
          <w:rFonts w:ascii="Times New Roman" w:hAnsi="Times New Roman"/>
          <w:sz w:val="24"/>
          <w:szCs w:val="24"/>
        </w:rPr>
        <w:t xml:space="preserve">b) </w:t>
      </w:r>
      <w:proofErr w:type="gramStart"/>
      <w:r w:rsidRPr="00C22DCD">
        <w:rPr>
          <w:rFonts w:ascii="Times New Roman" w:hAnsi="Times New Roman"/>
          <w:sz w:val="24"/>
          <w:szCs w:val="24"/>
        </w:rPr>
        <w:t>where</w:t>
      </w:r>
      <w:proofErr w:type="gramEnd"/>
      <w:r w:rsidRPr="00C22DCD">
        <w:rPr>
          <w:rFonts w:ascii="Times New Roman" w:hAnsi="Times New Roman"/>
          <w:sz w:val="24"/>
          <w:szCs w:val="24"/>
        </w:rPr>
        <w:t xml:space="preserve"> there is a discrepancy between the unit rate and the line</w:t>
      </w:r>
      <w:r w:rsidR="00194C8D">
        <w:rPr>
          <w:rFonts w:ascii="Times New Roman" w:hAnsi="Times New Roman"/>
          <w:sz w:val="24"/>
          <w:szCs w:val="24"/>
        </w:rPr>
        <w:t>-</w:t>
      </w:r>
      <w:r w:rsidRPr="00C22DCD">
        <w:rPr>
          <w:rFonts w:ascii="Times New Roman" w:hAnsi="Times New Roman"/>
          <w:sz w:val="24"/>
          <w:szCs w:val="24"/>
        </w:rPr>
        <w:t xml:space="preserve">item total resulting from multiplying the unit rate by the quantity, the unit rate as quoted will govern; </w:t>
      </w:r>
    </w:p>
    <w:p w14:paraId="40481DE9" w14:textId="77777777" w:rsidR="00C170DF" w:rsidRPr="00C22DCD" w:rsidRDefault="00C170DF" w:rsidP="00C170DF">
      <w:pPr>
        <w:pStyle w:val="NoSpacing"/>
        <w:ind w:left="567"/>
        <w:rPr>
          <w:rFonts w:ascii="Times New Roman" w:hAnsi="Times New Roman"/>
          <w:sz w:val="24"/>
          <w:szCs w:val="24"/>
        </w:rPr>
      </w:pPr>
      <w:r w:rsidRPr="00C22DCD">
        <w:rPr>
          <w:rFonts w:ascii="Times New Roman" w:hAnsi="Times New Roman"/>
          <w:sz w:val="24"/>
          <w:szCs w:val="24"/>
        </w:rPr>
        <w:t xml:space="preserve">c) </w:t>
      </w:r>
      <w:proofErr w:type="gramStart"/>
      <w:r w:rsidRPr="00C22DCD">
        <w:rPr>
          <w:rFonts w:ascii="Times New Roman" w:hAnsi="Times New Roman"/>
          <w:sz w:val="24"/>
          <w:szCs w:val="24"/>
        </w:rPr>
        <w:t>if</w:t>
      </w:r>
      <w:proofErr w:type="gramEnd"/>
      <w:r w:rsidRPr="00C22DCD">
        <w:rPr>
          <w:rFonts w:ascii="Times New Roman" w:hAnsi="Times New Roman"/>
          <w:sz w:val="24"/>
          <w:szCs w:val="24"/>
        </w:rPr>
        <w:t xml:space="preserve"> a Supplier refuses to accept the correction, his quotation will be rejected. </w:t>
      </w:r>
    </w:p>
    <w:p w14:paraId="29B03BCD" w14:textId="77777777" w:rsidR="00C170DF" w:rsidRDefault="00C170DF" w:rsidP="00C170DF">
      <w:pPr>
        <w:pStyle w:val="NoSpacing"/>
        <w:ind w:left="567"/>
        <w:rPr>
          <w:rFonts w:ascii="Times New Roman" w:hAnsi="Times New Roman"/>
          <w:sz w:val="24"/>
          <w:szCs w:val="24"/>
        </w:rPr>
      </w:pPr>
    </w:p>
    <w:p w14:paraId="68F2FE3D" w14:textId="77777777" w:rsidR="00C170DF" w:rsidRPr="003D4207" w:rsidRDefault="00C170DF" w:rsidP="00C170DF">
      <w:pPr>
        <w:ind w:left="6663" w:hanging="6096"/>
        <w:jc w:val="both"/>
      </w:pPr>
      <w:r w:rsidRPr="003D4207">
        <w:t>Substantial responsiveness includes essential compliance with these specifics:</w:t>
      </w:r>
    </w:p>
    <w:p w14:paraId="4D105109" w14:textId="77777777" w:rsidR="00C170DF" w:rsidRPr="003D4207" w:rsidRDefault="00C170DF" w:rsidP="00C170DF">
      <w:pPr>
        <w:ind w:left="6663" w:hanging="6096"/>
        <w:jc w:val="both"/>
        <w:rPr>
          <w:highlight w:val="yellow"/>
        </w:rPr>
      </w:pPr>
    </w:p>
    <w:p w14:paraId="0601AF2C" w14:textId="77777777" w:rsidR="00C170DF" w:rsidRDefault="00C170DF" w:rsidP="00C170DF">
      <w:pPr>
        <w:ind w:left="5670" w:hanging="5103"/>
        <w:rPr>
          <w:rFonts w:eastAsiaTheme="minorHAnsi"/>
          <w:b/>
          <w:bCs/>
        </w:rPr>
      </w:pPr>
      <w:r>
        <w:rPr>
          <w:rFonts w:eastAsiaTheme="minorHAnsi"/>
          <w:b/>
          <w:bCs/>
        </w:rPr>
        <w:t xml:space="preserve">Detailed technical specifications to be evaluated </w:t>
      </w:r>
    </w:p>
    <w:p w14:paraId="09A9E9DA" w14:textId="77777777" w:rsidR="00C170DF" w:rsidRPr="006C45B7" w:rsidRDefault="00C170DF" w:rsidP="00C170DF">
      <w:pPr>
        <w:pStyle w:val="ListParagraph"/>
        <w:numPr>
          <w:ilvl w:val="0"/>
          <w:numId w:val="13"/>
        </w:numPr>
        <w:spacing w:after="0"/>
        <w:rPr>
          <w:rFonts w:ascii="Times New Roman" w:hAnsi="Times New Roman"/>
          <w:lang w:val="en-AU"/>
        </w:rPr>
      </w:pPr>
      <w:r w:rsidRPr="006C45B7">
        <w:rPr>
          <w:rFonts w:ascii="Times New Roman" w:hAnsi="Times New Roman"/>
          <w:lang w:val="en-AU"/>
        </w:rPr>
        <w:t xml:space="preserve">Compliance with the minimum specifications of the equipment </w:t>
      </w:r>
    </w:p>
    <w:p w14:paraId="567D12E1" w14:textId="77777777" w:rsidR="00C170DF" w:rsidRPr="00C22DCD" w:rsidRDefault="00C170DF" w:rsidP="00C170DF">
      <w:pPr>
        <w:pStyle w:val="NoSpacing"/>
        <w:ind w:left="567"/>
        <w:rPr>
          <w:rFonts w:ascii="Times New Roman" w:hAnsi="Times New Roman"/>
          <w:sz w:val="24"/>
          <w:szCs w:val="24"/>
        </w:rPr>
      </w:pPr>
    </w:p>
    <w:p w14:paraId="174A34E8" w14:textId="77777777" w:rsidR="00C170DF" w:rsidRPr="00C22DCD" w:rsidRDefault="00C170DF" w:rsidP="00C170DF">
      <w:pPr>
        <w:pStyle w:val="NoSpacing"/>
        <w:ind w:left="567"/>
        <w:rPr>
          <w:rFonts w:ascii="Times New Roman" w:hAnsi="Times New Roman"/>
          <w:sz w:val="24"/>
          <w:szCs w:val="24"/>
        </w:rPr>
      </w:pPr>
      <w:r w:rsidRPr="00C22DCD">
        <w:rPr>
          <w:rFonts w:ascii="Times New Roman" w:hAnsi="Times New Roman"/>
          <w:sz w:val="24"/>
          <w:szCs w:val="24"/>
        </w:rPr>
        <w:t xml:space="preserve">(iii) AWARD OF CONTRACT/PURCHASE ORDER: The award will be made to the bidder offering the lowest total evaluated price and that substantially meets the required standards of technical and financial capabilities. The successful bidder will sign a Contract as per attached form of contract and terms and conditions of supply. </w:t>
      </w:r>
    </w:p>
    <w:p w14:paraId="14DC62BA" w14:textId="77777777" w:rsidR="00C170DF" w:rsidRPr="00C22DCD" w:rsidRDefault="00C170DF" w:rsidP="00C170DF">
      <w:pPr>
        <w:pStyle w:val="NoSpacing"/>
        <w:ind w:left="567"/>
        <w:rPr>
          <w:rFonts w:ascii="Times New Roman" w:hAnsi="Times New Roman"/>
          <w:sz w:val="24"/>
          <w:szCs w:val="24"/>
        </w:rPr>
      </w:pPr>
    </w:p>
    <w:p w14:paraId="65C4471E" w14:textId="16F1240F" w:rsidR="00C170DF" w:rsidRPr="00C22DCD" w:rsidRDefault="00C170DF" w:rsidP="00C170DF">
      <w:pPr>
        <w:pStyle w:val="NoSpacing"/>
        <w:ind w:left="567"/>
        <w:rPr>
          <w:rFonts w:ascii="Times New Roman" w:hAnsi="Times New Roman"/>
          <w:sz w:val="24"/>
          <w:szCs w:val="24"/>
        </w:rPr>
      </w:pPr>
      <w:r w:rsidRPr="00C22DCD">
        <w:rPr>
          <w:rFonts w:ascii="Times New Roman" w:hAnsi="Times New Roman"/>
          <w:sz w:val="24"/>
          <w:szCs w:val="24"/>
        </w:rPr>
        <w:t>(iv) VALIDITY OF THE OFFER: Your quotation(s) should be valid for a period of sixty (</w:t>
      </w:r>
      <w:r w:rsidR="001E1535">
        <w:rPr>
          <w:rFonts w:ascii="Times New Roman" w:hAnsi="Times New Roman"/>
          <w:sz w:val="24"/>
          <w:szCs w:val="24"/>
        </w:rPr>
        <w:t>9</w:t>
      </w:r>
      <w:r w:rsidRPr="00C22DCD">
        <w:rPr>
          <w:rFonts w:ascii="Times New Roman" w:hAnsi="Times New Roman"/>
          <w:sz w:val="24"/>
          <w:szCs w:val="24"/>
        </w:rPr>
        <w:t>0) days from the deadline for receipt of quota</w:t>
      </w:r>
      <w:r>
        <w:rPr>
          <w:rFonts w:ascii="Times New Roman" w:hAnsi="Times New Roman"/>
          <w:sz w:val="24"/>
          <w:szCs w:val="24"/>
        </w:rPr>
        <w:t>tion(s) indicated in Paragraph 4</w:t>
      </w:r>
      <w:r w:rsidRPr="00C22DCD">
        <w:rPr>
          <w:rFonts w:ascii="Times New Roman" w:hAnsi="Times New Roman"/>
          <w:sz w:val="24"/>
          <w:szCs w:val="24"/>
        </w:rPr>
        <w:t xml:space="preserve"> of this Invitation to Quote. </w:t>
      </w:r>
    </w:p>
    <w:p w14:paraId="0B7D2776" w14:textId="77777777" w:rsidR="00CC644A" w:rsidRPr="001E1535" w:rsidRDefault="00CC644A" w:rsidP="00CC644A">
      <w:pPr>
        <w:jc w:val="both"/>
        <w:rPr>
          <w:lang w:val="en-US"/>
        </w:rPr>
      </w:pPr>
    </w:p>
    <w:p w14:paraId="760A064B" w14:textId="77777777" w:rsidR="00327ACF" w:rsidRPr="00912A12" w:rsidRDefault="00327ACF" w:rsidP="00CC644A">
      <w:pPr>
        <w:jc w:val="both"/>
      </w:pPr>
    </w:p>
    <w:p w14:paraId="5B5F9F19" w14:textId="77777777" w:rsidR="00CC644A" w:rsidRPr="00912A12" w:rsidRDefault="00CC644A" w:rsidP="00CC644A">
      <w:pPr>
        <w:jc w:val="both"/>
      </w:pPr>
      <w:r w:rsidRPr="00912A12">
        <w:t>7.</w:t>
      </w:r>
      <w:r w:rsidRPr="00912A12">
        <w:tab/>
        <w:t>Further information can be obtained from:</w:t>
      </w:r>
    </w:p>
    <w:p w14:paraId="7E677BFD" w14:textId="77777777" w:rsidR="00CC644A" w:rsidRPr="00912A12" w:rsidRDefault="00CC644A" w:rsidP="00CC644A">
      <w:pPr>
        <w:jc w:val="both"/>
      </w:pPr>
    </w:p>
    <w:p w14:paraId="62EB1EA3" w14:textId="77777777" w:rsidR="00FB3BFD" w:rsidRDefault="00FB3BFD" w:rsidP="00FB3BFD">
      <w:pPr>
        <w:ind w:left="720" w:firstLine="90"/>
        <w:jc w:val="both"/>
      </w:pPr>
      <w:r w:rsidRPr="00912A12">
        <w:t xml:space="preserve">Mr </w:t>
      </w:r>
      <w:proofErr w:type="spellStart"/>
      <w:r>
        <w:t>Mafalu</w:t>
      </w:r>
      <w:proofErr w:type="spellEnd"/>
      <w:r>
        <w:t xml:space="preserve"> </w:t>
      </w:r>
      <w:proofErr w:type="spellStart"/>
      <w:r>
        <w:t>Lotolua</w:t>
      </w:r>
      <w:proofErr w:type="spellEnd"/>
      <w:r w:rsidRPr="00912A12">
        <w:t xml:space="preserve">, </w:t>
      </w:r>
    </w:p>
    <w:p w14:paraId="3CBF97A9" w14:textId="71033DFC" w:rsidR="00FB3BFD" w:rsidRPr="00912A12" w:rsidRDefault="00FB3BFD" w:rsidP="00FB3BFD">
      <w:pPr>
        <w:ind w:left="720" w:firstLine="90"/>
        <w:jc w:val="both"/>
      </w:pPr>
      <w:r>
        <w:t>General Manager</w:t>
      </w:r>
      <w:r w:rsidRPr="00912A12">
        <w:t xml:space="preserve">,    </w:t>
      </w:r>
    </w:p>
    <w:p w14:paraId="1D2A0743" w14:textId="77777777" w:rsidR="00FB3BFD" w:rsidRPr="00912A12" w:rsidRDefault="00FB3BFD" w:rsidP="00FB3BFD">
      <w:pPr>
        <w:ind w:left="720" w:firstLine="90"/>
        <w:jc w:val="both"/>
      </w:pPr>
      <w:r w:rsidRPr="00912A12">
        <w:t>T</w:t>
      </w:r>
      <w:r>
        <w:t>uvalu Electricity Corporation</w:t>
      </w:r>
    </w:p>
    <w:p w14:paraId="70655926" w14:textId="77777777" w:rsidR="00FB3BFD" w:rsidRPr="002F630B" w:rsidRDefault="00FB3BFD" w:rsidP="00FB3BFD">
      <w:pPr>
        <w:ind w:left="720" w:firstLine="90"/>
        <w:rPr>
          <w:iCs/>
          <w:spacing w:val="-2"/>
        </w:rPr>
      </w:pPr>
      <w:r w:rsidRPr="002F630B">
        <w:rPr>
          <w:iCs/>
          <w:spacing w:val="-2"/>
        </w:rPr>
        <w:t>PO Box 32</w:t>
      </w:r>
    </w:p>
    <w:p w14:paraId="7B19EF67" w14:textId="77777777" w:rsidR="00FB3BFD" w:rsidRPr="002F630B" w:rsidRDefault="00FB3BFD" w:rsidP="00FB3BFD">
      <w:pPr>
        <w:ind w:left="720" w:firstLine="90"/>
        <w:rPr>
          <w:iCs/>
          <w:spacing w:val="-2"/>
        </w:rPr>
      </w:pPr>
      <w:proofErr w:type="spellStart"/>
      <w:r w:rsidRPr="002F630B">
        <w:rPr>
          <w:iCs/>
          <w:spacing w:val="-2"/>
        </w:rPr>
        <w:t>Vaiaku</w:t>
      </w:r>
      <w:proofErr w:type="spellEnd"/>
      <w:r w:rsidRPr="002F630B">
        <w:rPr>
          <w:iCs/>
          <w:spacing w:val="-2"/>
        </w:rPr>
        <w:t>, Funafuti</w:t>
      </w:r>
    </w:p>
    <w:p w14:paraId="2D023223" w14:textId="57687A99" w:rsidR="00FB3BFD" w:rsidRPr="002F630B" w:rsidRDefault="001F6297" w:rsidP="00FB3BFD">
      <w:pPr>
        <w:suppressAutoHyphens/>
        <w:ind w:left="720" w:firstLine="90"/>
        <w:rPr>
          <w:iCs/>
          <w:spacing w:val="-2"/>
        </w:rPr>
      </w:pPr>
      <w:r>
        <w:rPr>
          <w:iCs/>
          <w:spacing w:val="-2"/>
        </w:rPr>
        <w:t>Telephone + 688 20352/20350</w:t>
      </w:r>
    </w:p>
    <w:p w14:paraId="484A3BF6" w14:textId="77777777" w:rsidR="00FB3BFD" w:rsidRPr="002F630B" w:rsidRDefault="00FB3BFD" w:rsidP="00FB3BFD">
      <w:pPr>
        <w:ind w:left="720" w:firstLine="90"/>
      </w:pPr>
      <w:r w:rsidRPr="002F630B">
        <w:rPr>
          <w:iCs/>
          <w:spacing w:val="-2"/>
        </w:rPr>
        <w:t>Email: </w:t>
      </w:r>
      <w:r w:rsidRPr="002F630B">
        <w:t xml:space="preserve"> </w:t>
      </w:r>
      <w:hyperlink r:id="rId13" w:history="1">
        <w:r>
          <w:rPr>
            <w:rStyle w:val="Hyperlink"/>
          </w:rPr>
          <w:t>mafaluloto2@gmail.com</w:t>
        </w:r>
      </w:hyperlink>
    </w:p>
    <w:p w14:paraId="71CF7A27" w14:textId="77777777" w:rsidR="001E1535" w:rsidRPr="00C170DF" w:rsidRDefault="001E1535" w:rsidP="001E1535">
      <w:pPr>
        <w:ind w:left="720" w:firstLine="90"/>
      </w:pPr>
      <w:r w:rsidRPr="006C45B7">
        <w:rPr>
          <w:rStyle w:val="Hyperlink"/>
          <w:color w:val="auto"/>
          <w:u w:val="none"/>
        </w:rPr>
        <w:t xml:space="preserve">Please cc </w:t>
      </w:r>
      <w:hyperlink r:id="rId14" w:history="1">
        <w:r w:rsidRPr="00ED3E6C">
          <w:rPr>
            <w:rStyle w:val="Hyperlink"/>
          </w:rPr>
          <w:t>rapajyoung@gmail.com</w:t>
        </w:r>
      </w:hyperlink>
      <w:r>
        <w:rPr>
          <w:rStyle w:val="Hyperlink"/>
          <w:u w:val="none"/>
        </w:rPr>
        <w:t xml:space="preserve"> and </w:t>
      </w:r>
      <w:hyperlink r:id="rId15" w:history="1">
        <w:r w:rsidRPr="00ED3E6C">
          <w:rPr>
            <w:rStyle w:val="Hyperlink"/>
          </w:rPr>
          <w:t>jorgecavero@ecytbolivia.com</w:t>
        </w:r>
      </w:hyperlink>
      <w:r>
        <w:rPr>
          <w:rStyle w:val="Hyperlink"/>
          <w:u w:val="none"/>
        </w:rPr>
        <w:t xml:space="preserve"> </w:t>
      </w:r>
    </w:p>
    <w:p w14:paraId="564CBE10" w14:textId="77777777" w:rsidR="00CC644A" w:rsidRPr="00912A12" w:rsidRDefault="00CC644A" w:rsidP="00CC644A">
      <w:pPr>
        <w:jc w:val="both"/>
      </w:pPr>
    </w:p>
    <w:p w14:paraId="592457DC" w14:textId="77777777" w:rsidR="00CC644A" w:rsidRPr="00912A12" w:rsidRDefault="00CC644A" w:rsidP="00CC644A">
      <w:pPr>
        <w:jc w:val="both"/>
      </w:pPr>
    </w:p>
    <w:p w14:paraId="624B69E9" w14:textId="77777777" w:rsidR="00CC644A" w:rsidRPr="00912A12" w:rsidRDefault="00CC644A" w:rsidP="00CC644A">
      <w:pPr>
        <w:pStyle w:val="ListeParagraf"/>
        <w:ind w:left="0"/>
        <w:jc w:val="both"/>
        <w:rPr>
          <w:lang w:val="en-AU"/>
        </w:rPr>
      </w:pPr>
      <w:r w:rsidRPr="00912A12">
        <w:rPr>
          <w:lang w:val="en-AU"/>
        </w:rPr>
        <w:t>8.</w:t>
      </w:r>
      <w:r w:rsidRPr="00912A12">
        <w:rPr>
          <w:lang w:val="en-AU"/>
        </w:rPr>
        <w:tab/>
        <w:t>Inspections and Audits</w:t>
      </w:r>
    </w:p>
    <w:p w14:paraId="022B0B6E" w14:textId="77777777" w:rsidR="00CC644A" w:rsidRPr="00912A12" w:rsidRDefault="00CC644A" w:rsidP="00CC644A">
      <w:pPr>
        <w:pStyle w:val="ListeParagraf"/>
        <w:ind w:left="90" w:firstLine="720"/>
        <w:jc w:val="both"/>
        <w:rPr>
          <w:b/>
          <w:lang w:val="en-AU"/>
        </w:rPr>
      </w:pPr>
    </w:p>
    <w:p w14:paraId="48623122" w14:textId="77777777" w:rsidR="00CC644A" w:rsidRPr="00912A12" w:rsidRDefault="00CC644A" w:rsidP="00CC644A">
      <w:pPr>
        <w:pStyle w:val="ListeParagraf"/>
        <w:spacing w:after="120"/>
        <w:ind w:left="0"/>
        <w:jc w:val="both"/>
        <w:rPr>
          <w:lang w:val="en-AU"/>
        </w:rPr>
      </w:pPr>
      <w:r w:rsidRPr="00912A12">
        <w:rPr>
          <w:lang w:val="en-AU"/>
        </w:rPr>
        <w:t>8.1</w:t>
      </w:r>
      <w:r w:rsidRPr="00912A12">
        <w:rPr>
          <w:lang w:val="en-AU"/>
        </w:rPr>
        <w:tab/>
        <w:t>The Supplier shall carry out all instructions of the Purchaser, which comply with the applicable laws where the destination is located.</w:t>
      </w:r>
    </w:p>
    <w:p w14:paraId="7F0ECA76" w14:textId="77777777" w:rsidR="00CC644A" w:rsidRPr="00912A12" w:rsidRDefault="00CC644A" w:rsidP="00CC644A">
      <w:pPr>
        <w:jc w:val="both"/>
        <w:rPr>
          <w:bCs/>
          <w:color w:val="000000"/>
        </w:rPr>
      </w:pPr>
      <w:r w:rsidRPr="00912A12">
        <w:lastRenderedPageBreak/>
        <w:t>8.2</w:t>
      </w:r>
      <w:r w:rsidRPr="00912A12">
        <w:tab/>
        <w:t xml:space="preserve"> The Supplier shall permit, and shall cause its Subcontractors and consultants to permit, the Bank and/or persons appointed by the Bank to inspect the Supplier’s offices and all accounts and records relating to the performance of the Contract and the submission of the bid, and to have such accounts and records audited by auditors appointed by the Bank if requested by the Bank. The Supplier’s and its Subcontractors and consultants’ attention is drawn to Clause 5 Fraud and Corruption of the Form of Contract, which provides, inter alia, that </w:t>
      </w:r>
      <w:r w:rsidRPr="00912A12">
        <w:rPr>
          <w:bCs/>
          <w:color w:val="000000"/>
        </w:rPr>
        <w:t>acts intended to materially impede the exercise of the Bank’s inspection and audit rights constitute a prohibited practice subject to contract termination (as well as to a determination of ineligibility pursuant to the Bank’s prevailing sanctions procedures).</w:t>
      </w:r>
    </w:p>
    <w:p w14:paraId="757A0C59" w14:textId="77777777" w:rsidR="00CC644A" w:rsidRPr="00912A12" w:rsidRDefault="00CC644A" w:rsidP="00CC644A">
      <w:pPr>
        <w:jc w:val="both"/>
      </w:pPr>
    </w:p>
    <w:p w14:paraId="6638995B" w14:textId="77777777" w:rsidR="00CC644A" w:rsidRPr="00912A12" w:rsidRDefault="00CC644A" w:rsidP="00CC644A">
      <w:pPr>
        <w:jc w:val="both"/>
      </w:pPr>
      <w:r w:rsidRPr="00912A12">
        <w:tab/>
      </w:r>
      <w:r w:rsidRPr="00912A12">
        <w:tab/>
      </w:r>
      <w:r w:rsidRPr="00912A12">
        <w:tab/>
      </w:r>
      <w:r w:rsidRPr="00912A12">
        <w:tab/>
      </w:r>
      <w:r w:rsidRPr="00912A12">
        <w:tab/>
      </w:r>
      <w:r w:rsidRPr="00912A12">
        <w:tab/>
      </w:r>
      <w:r w:rsidRPr="00912A12">
        <w:tab/>
      </w:r>
      <w:r w:rsidRPr="00912A12">
        <w:tab/>
      </w:r>
      <w:r w:rsidRPr="00912A12">
        <w:tab/>
      </w:r>
    </w:p>
    <w:p w14:paraId="24602EF9" w14:textId="240E59F5" w:rsidR="00CC644A" w:rsidRPr="00912A12" w:rsidRDefault="00CC644A" w:rsidP="00CC644A">
      <w:pPr>
        <w:jc w:val="both"/>
      </w:pPr>
      <w:r w:rsidRPr="00912A12">
        <w:t>9.</w:t>
      </w:r>
      <w:r w:rsidRPr="00912A12">
        <w:tab/>
        <w:t>Please confirm by e-mail the receipt of this invitation and whether or not you will submit the price quotation(s).</w:t>
      </w:r>
    </w:p>
    <w:p w14:paraId="18F6C40D" w14:textId="77777777" w:rsidR="00CC644A" w:rsidRPr="00912A12" w:rsidRDefault="00CC644A" w:rsidP="00CC644A">
      <w:pPr>
        <w:jc w:val="both"/>
      </w:pPr>
    </w:p>
    <w:p w14:paraId="4DCBE609" w14:textId="77777777" w:rsidR="00CC644A" w:rsidRPr="00912A12" w:rsidRDefault="00CC644A" w:rsidP="00CC644A">
      <w:pPr>
        <w:jc w:val="both"/>
      </w:pPr>
    </w:p>
    <w:p w14:paraId="2244D3C5" w14:textId="77777777" w:rsidR="00CC644A" w:rsidRPr="00912A12" w:rsidRDefault="00CC644A" w:rsidP="00CC644A">
      <w:pPr>
        <w:jc w:val="both"/>
      </w:pPr>
    </w:p>
    <w:p w14:paraId="457CE0A4" w14:textId="77777777" w:rsidR="00CC644A" w:rsidRPr="00912A12" w:rsidRDefault="00CC644A" w:rsidP="00CC644A">
      <w:r w:rsidRPr="00912A12">
        <w:t>Yours sincerely</w:t>
      </w:r>
    </w:p>
    <w:p w14:paraId="62C2D6A2" w14:textId="77777777" w:rsidR="00CC644A" w:rsidRPr="00912A12" w:rsidRDefault="00CC644A" w:rsidP="00CC644A"/>
    <w:p w14:paraId="67B0E3A2" w14:textId="77777777" w:rsidR="00CC644A" w:rsidRPr="00912A12" w:rsidRDefault="00CC644A" w:rsidP="00CC644A"/>
    <w:p w14:paraId="0819B571" w14:textId="77777777" w:rsidR="00CC644A" w:rsidRPr="00912A12" w:rsidRDefault="00CC644A" w:rsidP="00CC644A"/>
    <w:p w14:paraId="5D525FA1" w14:textId="3A58DAB3" w:rsidR="00CC644A" w:rsidRPr="00912A12" w:rsidRDefault="00CC644A" w:rsidP="00CC644A">
      <w:pPr>
        <w:suppressAutoHyphens/>
        <w:jc w:val="both"/>
        <w:rPr>
          <w:iCs/>
          <w:spacing w:val="-2"/>
        </w:rPr>
      </w:pPr>
      <w:proofErr w:type="spellStart"/>
      <w:r w:rsidRPr="00912A12">
        <w:rPr>
          <w:iCs/>
          <w:spacing w:val="-2"/>
        </w:rPr>
        <w:t>Mr.</w:t>
      </w:r>
      <w:proofErr w:type="spellEnd"/>
      <w:r w:rsidRPr="00912A12">
        <w:rPr>
          <w:iCs/>
          <w:spacing w:val="-2"/>
        </w:rPr>
        <w:t xml:space="preserve"> </w:t>
      </w:r>
      <w:proofErr w:type="spellStart"/>
      <w:r w:rsidR="00FB3BFD">
        <w:rPr>
          <w:iCs/>
          <w:spacing w:val="-2"/>
        </w:rPr>
        <w:t>Mafalu</w:t>
      </w:r>
      <w:proofErr w:type="spellEnd"/>
      <w:r w:rsidR="00FB3BFD">
        <w:rPr>
          <w:iCs/>
          <w:spacing w:val="-2"/>
        </w:rPr>
        <w:t xml:space="preserve"> </w:t>
      </w:r>
      <w:proofErr w:type="spellStart"/>
      <w:r w:rsidR="00FB3BFD">
        <w:rPr>
          <w:iCs/>
          <w:spacing w:val="-2"/>
        </w:rPr>
        <w:t>Lotolua</w:t>
      </w:r>
      <w:proofErr w:type="spellEnd"/>
      <w:r w:rsidRPr="00912A12">
        <w:rPr>
          <w:iCs/>
          <w:spacing w:val="-2"/>
        </w:rPr>
        <w:t xml:space="preserve"> </w:t>
      </w:r>
    </w:p>
    <w:p w14:paraId="3C2B8A71" w14:textId="03525C05" w:rsidR="00CC644A" w:rsidRPr="00912A12" w:rsidRDefault="00FB3BFD" w:rsidP="00CC644A">
      <w:pPr>
        <w:suppressAutoHyphens/>
        <w:jc w:val="both"/>
        <w:rPr>
          <w:iCs/>
          <w:spacing w:val="-2"/>
        </w:rPr>
      </w:pPr>
      <w:r>
        <w:rPr>
          <w:iCs/>
          <w:spacing w:val="-2"/>
        </w:rPr>
        <w:t>General Manager</w:t>
      </w:r>
    </w:p>
    <w:p w14:paraId="6D6ADA8E" w14:textId="6C48BEE0" w:rsidR="00CC644A" w:rsidRPr="00912A12" w:rsidRDefault="00FB3BFD" w:rsidP="00CC644A">
      <w:r>
        <w:rPr>
          <w:iCs/>
          <w:spacing w:val="-2"/>
        </w:rPr>
        <w:t>TEC</w:t>
      </w:r>
    </w:p>
    <w:p w14:paraId="374F5AB2" w14:textId="77777777" w:rsidR="00B729BA" w:rsidRDefault="00B729BA" w:rsidP="00B729BA">
      <w:pPr>
        <w:ind w:left="1440"/>
        <w:contextualSpacing/>
        <w:rPr>
          <w:lang w:val="en-GB" w:eastAsia="en-US"/>
        </w:rPr>
      </w:pPr>
    </w:p>
    <w:p w14:paraId="7A5721B9" w14:textId="77777777" w:rsidR="00B729BA" w:rsidRDefault="00B729BA" w:rsidP="00B729BA">
      <w:pPr>
        <w:ind w:left="1440"/>
        <w:contextualSpacing/>
        <w:rPr>
          <w:lang w:val="en-GB" w:eastAsia="en-US"/>
        </w:rPr>
      </w:pPr>
    </w:p>
    <w:p w14:paraId="763F89CB" w14:textId="3F82F3E2" w:rsidR="0097594C" w:rsidRDefault="0097594C" w:rsidP="00A76060">
      <w:pPr>
        <w:jc w:val="center"/>
        <w:rPr>
          <w:b/>
          <w:sz w:val="32"/>
          <w:szCs w:val="32"/>
        </w:rPr>
      </w:pPr>
      <w:r w:rsidRPr="00A76060">
        <w:rPr>
          <w:sz w:val="32"/>
          <w:szCs w:val="32"/>
          <w:lang w:val="en-GB" w:eastAsia="en-US"/>
        </w:rPr>
        <w:br w:type="page"/>
      </w:r>
      <w:r w:rsidRPr="00A76060">
        <w:rPr>
          <w:b/>
          <w:sz w:val="32"/>
          <w:szCs w:val="32"/>
        </w:rPr>
        <w:lastRenderedPageBreak/>
        <w:t>Technical Specification Electric Motor</w:t>
      </w:r>
      <w:r w:rsidR="00A76060" w:rsidRPr="00A76060">
        <w:rPr>
          <w:b/>
          <w:sz w:val="32"/>
          <w:szCs w:val="32"/>
        </w:rPr>
        <w:t>cycles</w:t>
      </w:r>
    </w:p>
    <w:p w14:paraId="1DD302B0" w14:textId="77777777" w:rsidR="00A76060" w:rsidRPr="00A76060" w:rsidRDefault="00A76060" w:rsidP="00A76060">
      <w:pPr>
        <w:jc w:val="center"/>
        <w:rPr>
          <w:b/>
          <w:sz w:val="32"/>
          <w:szCs w:val="32"/>
        </w:rPr>
      </w:pPr>
    </w:p>
    <w:p w14:paraId="7E9624A8" w14:textId="6FBE5035" w:rsidR="0097594C" w:rsidRPr="00876627" w:rsidRDefault="00412DAF" w:rsidP="00DF3A81">
      <w:pPr>
        <w:jc w:val="both"/>
        <w:rPr>
          <w:b/>
        </w:rPr>
      </w:pPr>
      <w:r w:rsidRPr="00876627">
        <w:rPr>
          <w:b/>
        </w:rPr>
        <w:t>OVERALL CONCEPT</w:t>
      </w:r>
    </w:p>
    <w:p w14:paraId="6109413B" w14:textId="070716E4" w:rsidR="0097594C" w:rsidRDefault="0097594C" w:rsidP="00DF3A81">
      <w:pPr>
        <w:jc w:val="both"/>
      </w:pPr>
      <w:r>
        <w:t xml:space="preserve">On behalf of the Government of Tuvalu and with the assistance of the World Bank, the Tuvalu Electricity Corporation (TEC) is intending to introduce electrically powered </w:t>
      </w:r>
      <w:r w:rsidR="005A1F48">
        <w:t>motorcycles</w:t>
      </w:r>
      <w:r w:rsidR="00441FDA">
        <w:t>/</w:t>
      </w:r>
      <w:r w:rsidR="00167C1A">
        <w:t xml:space="preserve"> motor scooters</w:t>
      </w:r>
      <w:r>
        <w:t xml:space="preserve"> (the vehicles) as a pilot scheme in Funafuti. If the pilot scheme is successful, it is anticipated that the use of electrically powered 2 wheelers will increase and displace the use of </w:t>
      </w:r>
      <w:proofErr w:type="gramStart"/>
      <w:r>
        <w:t>hydrocarbon fuelled</w:t>
      </w:r>
      <w:proofErr w:type="gramEnd"/>
      <w:r>
        <w:t xml:space="preserve"> vehicles.</w:t>
      </w:r>
    </w:p>
    <w:p w14:paraId="0FF913A5" w14:textId="77777777" w:rsidR="008524CB" w:rsidRDefault="008524CB" w:rsidP="00DF3A81">
      <w:pPr>
        <w:jc w:val="both"/>
        <w:rPr>
          <w:b/>
        </w:rPr>
      </w:pPr>
    </w:p>
    <w:p w14:paraId="3B186C8B" w14:textId="4E19A4AC" w:rsidR="0097594C" w:rsidRPr="00876627" w:rsidRDefault="008524CB" w:rsidP="00DF3A81">
      <w:pPr>
        <w:jc w:val="both"/>
        <w:rPr>
          <w:b/>
        </w:rPr>
      </w:pPr>
      <w:r>
        <w:rPr>
          <w:b/>
        </w:rPr>
        <w:t>BACKGROUND OF</w:t>
      </w:r>
      <w:r w:rsidRPr="00876627">
        <w:rPr>
          <w:b/>
        </w:rPr>
        <w:t xml:space="preserve"> </w:t>
      </w:r>
      <w:r>
        <w:rPr>
          <w:b/>
        </w:rPr>
        <w:t>THE PILOT</w:t>
      </w:r>
    </w:p>
    <w:p w14:paraId="3308F0DB" w14:textId="6DD97C41" w:rsidR="0097594C" w:rsidRDefault="0097594C" w:rsidP="00DF3A81">
      <w:pPr>
        <w:jc w:val="both"/>
      </w:pPr>
      <w:proofErr w:type="spellStart"/>
      <w:r>
        <w:t>Fogafale</w:t>
      </w:r>
      <w:proofErr w:type="spellEnd"/>
      <w:r>
        <w:t xml:space="preserve"> is the main island in Funafuti atoll and has a peak demand of about 1 MW. The generation system in </w:t>
      </w:r>
      <w:proofErr w:type="spellStart"/>
      <w:r>
        <w:t>Fogafale</w:t>
      </w:r>
      <w:proofErr w:type="spellEnd"/>
      <w:r>
        <w:t xml:space="preserve"> comprises (</w:t>
      </w:r>
      <w:proofErr w:type="spellStart"/>
      <w:r>
        <w:t>i</w:t>
      </w:r>
      <w:proofErr w:type="spellEnd"/>
      <w:r>
        <w:t>) a diesel power station installed under the Japan International Cooperation Agency (JICA) project in 2007, comprising three 600 kW diesel generators with an 11 kV/415 V/230 V distribution system, and (ii) solar PVs of about 800kW total capacity. In 2015, the Government of Tuvalu (</w:t>
      </w:r>
      <w:proofErr w:type="spellStart"/>
      <w:r>
        <w:t>GoT</w:t>
      </w:r>
      <w:proofErr w:type="spellEnd"/>
      <w:r>
        <w:t xml:space="preserve">) concluded the financial agreement of the Energy Sector Development Project (ESDP) with WB to promote renewable energy and energy efficiency. Under ESDP, TEC is implementing “supply and installation of 768kW solar PVs and </w:t>
      </w:r>
      <w:r w:rsidR="00C01FA9">
        <w:t xml:space="preserve">2MWh </w:t>
      </w:r>
      <w:r>
        <w:t xml:space="preserve">battery storage in </w:t>
      </w:r>
      <w:proofErr w:type="spellStart"/>
      <w:r>
        <w:t>Fogafale</w:t>
      </w:r>
      <w:proofErr w:type="spellEnd"/>
      <w:r>
        <w:t xml:space="preserve">” In parallel, Asian Development Bank (ADB) plans to install 500kW solar PVs and </w:t>
      </w:r>
      <w:r w:rsidR="007B7C7F">
        <w:t xml:space="preserve">2MWh </w:t>
      </w:r>
      <w:r>
        <w:t>battery storage, and the Global Environment Facility (GEF) plans to conduct a pilot project of 100kW floating solar PVs. With the increase of solar PVs, the power system requires a larger capacity of battery storage, which makes the economy of solar PVs worse. Electric Mobility (e-Mobility) can reshape the daily load curve in favo</w:t>
      </w:r>
      <w:r w:rsidR="00DB2BB5">
        <w:t>u</w:t>
      </w:r>
      <w:r>
        <w:t xml:space="preserve">r of solar PVs and reduce the necessary capacity of the battery storage and GHG emission in both the energy and transportation sectors. </w:t>
      </w:r>
    </w:p>
    <w:p w14:paraId="33E832BD" w14:textId="77777777" w:rsidR="008524CB" w:rsidRDefault="008524CB" w:rsidP="00DF3A81">
      <w:pPr>
        <w:jc w:val="both"/>
      </w:pPr>
    </w:p>
    <w:p w14:paraId="790CCBA9" w14:textId="2B5C0D61" w:rsidR="0097594C" w:rsidRPr="00876627" w:rsidRDefault="008524CB" w:rsidP="00DF3A81">
      <w:pPr>
        <w:jc w:val="both"/>
        <w:rPr>
          <w:b/>
        </w:rPr>
      </w:pPr>
      <w:r w:rsidRPr="00876627">
        <w:rPr>
          <w:b/>
        </w:rPr>
        <w:t>O</w:t>
      </w:r>
      <w:r>
        <w:rPr>
          <w:b/>
        </w:rPr>
        <w:t>BJECTIVE OF</w:t>
      </w:r>
      <w:r w:rsidRPr="00876627">
        <w:rPr>
          <w:b/>
        </w:rPr>
        <w:t xml:space="preserve"> </w:t>
      </w:r>
      <w:r>
        <w:rPr>
          <w:b/>
        </w:rPr>
        <w:t>THE PILOT</w:t>
      </w:r>
    </w:p>
    <w:p w14:paraId="7AEE04E2" w14:textId="7E73ED5E" w:rsidR="0097594C" w:rsidRDefault="0097594C" w:rsidP="00DF3A81">
      <w:pPr>
        <w:jc w:val="both"/>
      </w:pPr>
      <w:r w:rsidRPr="00EB7F4F">
        <w:t xml:space="preserve">The objective of </w:t>
      </w:r>
      <w:r>
        <w:t>the pilot</w:t>
      </w:r>
      <w:r w:rsidRPr="00EB7F4F">
        <w:t xml:space="preserve"> </w:t>
      </w:r>
      <w:r>
        <w:t>is</w:t>
      </w:r>
      <w:r w:rsidRPr="00EB7F4F">
        <w:t xml:space="preserve"> to evaluate the technical and economic feasibility of deploying e-Mobility at a larger scale while creating synergies with the renewable energy power plants in a harmonized energy system.</w:t>
      </w:r>
    </w:p>
    <w:p w14:paraId="40661DE5" w14:textId="28959FA7" w:rsidR="00DA57B8" w:rsidRDefault="00DA57B8" w:rsidP="00DF3A81">
      <w:pPr>
        <w:jc w:val="both"/>
      </w:pPr>
    </w:p>
    <w:p w14:paraId="0F1A8BC2" w14:textId="443E9097" w:rsidR="00DA57B8" w:rsidRPr="00C73A2A" w:rsidRDefault="00C73A2A" w:rsidP="00DF3A81">
      <w:pPr>
        <w:jc w:val="both"/>
        <w:rPr>
          <w:b/>
          <w:bCs/>
        </w:rPr>
      </w:pPr>
      <w:r w:rsidRPr="00C73A2A">
        <w:rPr>
          <w:b/>
          <w:bCs/>
        </w:rPr>
        <w:t>TUVALU ROAD CONDITIONS</w:t>
      </w:r>
    </w:p>
    <w:p w14:paraId="398D2672" w14:textId="5CDE288C" w:rsidR="00C73A2A" w:rsidRDefault="00C73A2A" w:rsidP="00DF3A81">
      <w:pPr>
        <w:jc w:val="both"/>
      </w:pPr>
      <w:r>
        <w:t xml:space="preserve">Roads in the pilot scheme area are flat and are mostly sealed with bitumen. However, there are some roads that are not sealed and consist of compressed coral sand or crushed coral. </w:t>
      </w:r>
      <w:proofErr w:type="gramStart"/>
      <w:r>
        <w:t>Rain water</w:t>
      </w:r>
      <w:proofErr w:type="gramEnd"/>
      <w:r>
        <w:t xml:space="preserve"> lying in puddles can have a high salt content, as the area is surrounded sea. Occasionally, </w:t>
      </w:r>
      <w:r w:rsidR="007C2324">
        <w:t>high tides can cause salty groundwater to rise to road level.</w:t>
      </w:r>
    </w:p>
    <w:p w14:paraId="679E8DB2" w14:textId="77777777" w:rsidR="00C11854" w:rsidRDefault="00C11854" w:rsidP="00DF3A81">
      <w:pPr>
        <w:jc w:val="both"/>
      </w:pPr>
    </w:p>
    <w:p w14:paraId="183E40EC" w14:textId="0DCC9B71" w:rsidR="0097594C" w:rsidRPr="000E2EFD" w:rsidRDefault="008524CB" w:rsidP="008524CB">
      <w:pPr>
        <w:rPr>
          <w:b/>
        </w:rPr>
      </w:pPr>
      <w:r w:rsidRPr="000E2EFD">
        <w:rPr>
          <w:b/>
        </w:rPr>
        <w:t>BASIC REQUIREMENT</w:t>
      </w:r>
    </w:p>
    <w:p w14:paraId="274D6A17" w14:textId="1C2B9F2B" w:rsidR="0097594C" w:rsidRDefault="0097594C" w:rsidP="00DF3A81">
      <w:pPr>
        <w:jc w:val="both"/>
      </w:pPr>
      <w:r>
        <w:t xml:space="preserve">The pilot scheme will require </w:t>
      </w:r>
      <w:r w:rsidR="00C63F6E" w:rsidRPr="00167C1A">
        <w:t>12</w:t>
      </w:r>
      <w:r>
        <w:t xml:space="preserve"> </w:t>
      </w:r>
      <w:r w:rsidR="005A1F48">
        <w:t>motorcycles</w:t>
      </w:r>
      <w:r w:rsidR="005E167D">
        <w:t>.</w:t>
      </w:r>
      <w:r>
        <w:t xml:space="preserve"> </w:t>
      </w:r>
      <w:bookmarkStart w:id="2" w:name="_Hlk22671709"/>
      <w:r w:rsidR="005E167D">
        <w:t xml:space="preserve">Chargers will be connected </w:t>
      </w:r>
      <w:r w:rsidR="00C01FA9">
        <w:t xml:space="preserve">to </w:t>
      </w:r>
      <w:r w:rsidR="007B7C7F">
        <w:t>230/240</w:t>
      </w:r>
      <w:r w:rsidR="00C01FA9">
        <w:t>V</w:t>
      </w:r>
      <w:r w:rsidR="00CF0FA9">
        <w:t>, 50Hz</w:t>
      </w:r>
      <w:r w:rsidR="00C01FA9">
        <w:t xml:space="preserve"> electric outlets </w:t>
      </w:r>
      <w:r w:rsidR="005E167D">
        <w:t xml:space="preserve">so that </w:t>
      </w:r>
      <w:r w:rsidR="00C01FA9">
        <w:t xml:space="preserve">TEC can </w:t>
      </w:r>
      <w:r w:rsidR="00B94892">
        <w:t xml:space="preserve">automatically or </w:t>
      </w:r>
      <w:r w:rsidR="00C01FA9">
        <w:t xml:space="preserve">manually </w:t>
      </w:r>
      <w:r w:rsidR="005E167D">
        <w:t xml:space="preserve">turn on </w:t>
      </w:r>
      <w:r w:rsidRPr="008B4182">
        <w:t>when (</w:t>
      </w:r>
      <w:proofErr w:type="spellStart"/>
      <w:r w:rsidRPr="008B4182">
        <w:t>i</w:t>
      </w:r>
      <w:proofErr w:type="spellEnd"/>
      <w:r w:rsidRPr="008B4182">
        <w:t xml:space="preserve">) daytime and (ii) the output of diesel drops to </w:t>
      </w:r>
      <w:r>
        <w:t>a certain amount (kW)</w:t>
      </w:r>
      <w:r w:rsidR="005E167D">
        <w:t xml:space="preserve">. </w:t>
      </w:r>
      <w:bookmarkEnd w:id="2"/>
      <w:r w:rsidR="005E167D">
        <w:t>S</w:t>
      </w:r>
      <w:r>
        <w:t>pare batteries, spare electronic controls, tools, instruments and training of local technicians</w:t>
      </w:r>
      <w:r w:rsidR="005E167D">
        <w:t xml:space="preserve"> will be required</w:t>
      </w:r>
      <w:r>
        <w:t xml:space="preserve">. Full maintenance manuals and </w:t>
      </w:r>
      <w:r w:rsidR="00924B8E" w:rsidRPr="009550FD">
        <w:t>extended</w:t>
      </w:r>
      <w:r w:rsidR="00924B8E">
        <w:t xml:space="preserve"> </w:t>
      </w:r>
      <w:r>
        <w:t xml:space="preserve">maintenance support will also be required. Ease of use and high reliability is essential for any vehicles and support systems offered. The vehicle shall comply with relevant design rules, which are internationally recognized (e.g., Australian, New Zealand, USA, </w:t>
      </w:r>
      <w:r w:rsidR="00C01FA9">
        <w:t xml:space="preserve">EU, </w:t>
      </w:r>
      <w:r>
        <w:t xml:space="preserve">and Japan), for </w:t>
      </w:r>
      <w:proofErr w:type="gramStart"/>
      <w:r>
        <w:t>2 wheeled</w:t>
      </w:r>
      <w:proofErr w:type="gramEnd"/>
      <w:r>
        <w:t xml:space="preserve"> vehicle construction and safety. </w:t>
      </w:r>
    </w:p>
    <w:p w14:paraId="78B82730" w14:textId="77777777" w:rsidR="00C11854" w:rsidRDefault="00C11854" w:rsidP="00DF3A81">
      <w:pPr>
        <w:jc w:val="both"/>
      </w:pPr>
    </w:p>
    <w:p w14:paraId="5FEBAB5A" w14:textId="77777777" w:rsidR="0097594C" w:rsidRPr="00192F0F" w:rsidRDefault="0097594C">
      <w:pPr>
        <w:rPr>
          <w:b/>
        </w:rPr>
      </w:pPr>
      <w:r w:rsidRPr="00192F0F">
        <w:rPr>
          <w:b/>
        </w:rPr>
        <w:t>ENVIRONMENTAL CONDITIONS</w:t>
      </w:r>
    </w:p>
    <w:tbl>
      <w:tblPr>
        <w:tblStyle w:val="TableGrid"/>
        <w:tblW w:w="0" w:type="auto"/>
        <w:tblLook w:val="04A0" w:firstRow="1" w:lastRow="0" w:firstColumn="1" w:lastColumn="0" w:noHBand="0" w:noVBand="1"/>
      </w:tblPr>
      <w:tblGrid>
        <w:gridCol w:w="715"/>
        <w:gridCol w:w="2880"/>
        <w:gridCol w:w="5421"/>
      </w:tblGrid>
      <w:tr w:rsidR="0097594C" w:rsidRPr="00346739" w14:paraId="54E690EF" w14:textId="77777777" w:rsidTr="000D1DA9">
        <w:tc>
          <w:tcPr>
            <w:tcW w:w="715" w:type="dxa"/>
          </w:tcPr>
          <w:p w14:paraId="6F1981F8" w14:textId="77777777" w:rsidR="0097594C" w:rsidRPr="00346739" w:rsidRDefault="0097594C" w:rsidP="00346739">
            <w:pPr>
              <w:jc w:val="center"/>
              <w:rPr>
                <w:b/>
              </w:rPr>
            </w:pPr>
          </w:p>
        </w:tc>
        <w:tc>
          <w:tcPr>
            <w:tcW w:w="2880" w:type="dxa"/>
          </w:tcPr>
          <w:p w14:paraId="409C04F9" w14:textId="77777777" w:rsidR="0097594C" w:rsidRPr="00346739" w:rsidRDefault="0097594C" w:rsidP="00346739">
            <w:pPr>
              <w:jc w:val="center"/>
              <w:rPr>
                <w:b/>
              </w:rPr>
            </w:pPr>
            <w:r w:rsidRPr="00346739">
              <w:rPr>
                <w:b/>
              </w:rPr>
              <w:t>ITEM</w:t>
            </w:r>
          </w:p>
        </w:tc>
        <w:tc>
          <w:tcPr>
            <w:tcW w:w="5421" w:type="dxa"/>
          </w:tcPr>
          <w:p w14:paraId="3C77A44A" w14:textId="77777777" w:rsidR="0097594C" w:rsidRPr="00346739" w:rsidRDefault="0097594C" w:rsidP="00346739">
            <w:pPr>
              <w:jc w:val="center"/>
              <w:rPr>
                <w:b/>
              </w:rPr>
            </w:pPr>
            <w:r w:rsidRPr="00346739">
              <w:rPr>
                <w:b/>
              </w:rPr>
              <w:t>PARAMETERS</w:t>
            </w:r>
          </w:p>
        </w:tc>
      </w:tr>
      <w:tr w:rsidR="0097594C" w14:paraId="33F639E1" w14:textId="77777777" w:rsidTr="000D1DA9">
        <w:tc>
          <w:tcPr>
            <w:tcW w:w="715" w:type="dxa"/>
          </w:tcPr>
          <w:p w14:paraId="2C5309CD" w14:textId="77777777" w:rsidR="0097594C" w:rsidRDefault="0097594C" w:rsidP="000D1DA9"/>
        </w:tc>
        <w:tc>
          <w:tcPr>
            <w:tcW w:w="2880" w:type="dxa"/>
          </w:tcPr>
          <w:p w14:paraId="08ABC34F" w14:textId="77777777" w:rsidR="0097594C" w:rsidRDefault="0097594C" w:rsidP="000D1DA9">
            <w:r>
              <w:t>Temperature</w:t>
            </w:r>
          </w:p>
        </w:tc>
        <w:tc>
          <w:tcPr>
            <w:tcW w:w="5421" w:type="dxa"/>
          </w:tcPr>
          <w:p w14:paraId="40706C44" w14:textId="77777777" w:rsidR="0097594C" w:rsidRDefault="0097594C" w:rsidP="000D1DA9">
            <w:r>
              <w:t xml:space="preserve">25 to 40 degrees Celsius </w:t>
            </w:r>
          </w:p>
        </w:tc>
      </w:tr>
      <w:tr w:rsidR="0097594C" w14:paraId="6177A5D1" w14:textId="77777777" w:rsidTr="000D1DA9">
        <w:tc>
          <w:tcPr>
            <w:tcW w:w="715" w:type="dxa"/>
          </w:tcPr>
          <w:p w14:paraId="08174A07" w14:textId="77777777" w:rsidR="0097594C" w:rsidRDefault="0097594C" w:rsidP="000D1DA9"/>
        </w:tc>
        <w:tc>
          <w:tcPr>
            <w:tcW w:w="2880" w:type="dxa"/>
          </w:tcPr>
          <w:p w14:paraId="007FA77E" w14:textId="77777777" w:rsidR="0097594C" w:rsidRDefault="0097594C" w:rsidP="000D1DA9">
            <w:r>
              <w:t>Relative humidity</w:t>
            </w:r>
          </w:p>
        </w:tc>
        <w:tc>
          <w:tcPr>
            <w:tcW w:w="5421" w:type="dxa"/>
          </w:tcPr>
          <w:p w14:paraId="3C49420C" w14:textId="77777777" w:rsidR="0097594C" w:rsidRDefault="0097594C" w:rsidP="000D1DA9">
            <w:r>
              <w:t>Normally 80% to 85%, sometimes higher</w:t>
            </w:r>
          </w:p>
        </w:tc>
      </w:tr>
      <w:tr w:rsidR="0097594C" w14:paraId="260DA509" w14:textId="77777777" w:rsidTr="000D1DA9">
        <w:tc>
          <w:tcPr>
            <w:tcW w:w="715" w:type="dxa"/>
          </w:tcPr>
          <w:p w14:paraId="462137F7" w14:textId="77777777" w:rsidR="0097594C" w:rsidRDefault="0097594C" w:rsidP="000D1DA9"/>
        </w:tc>
        <w:tc>
          <w:tcPr>
            <w:tcW w:w="2880" w:type="dxa"/>
          </w:tcPr>
          <w:p w14:paraId="036CCDEF" w14:textId="77777777" w:rsidR="0097594C" w:rsidRDefault="0097594C" w:rsidP="000D1DA9">
            <w:r>
              <w:t>Rainfall</w:t>
            </w:r>
          </w:p>
        </w:tc>
        <w:tc>
          <w:tcPr>
            <w:tcW w:w="5421" w:type="dxa"/>
          </w:tcPr>
          <w:p w14:paraId="0024FD14" w14:textId="77777777" w:rsidR="0097594C" w:rsidRDefault="0097594C" w:rsidP="000D1DA9">
            <w:r>
              <w:t>Averages 16 to 22 days per month, in excess of 3,000 mm per year</w:t>
            </w:r>
          </w:p>
        </w:tc>
      </w:tr>
      <w:tr w:rsidR="0097594C" w14:paraId="3C948373" w14:textId="77777777" w:rsidTr="000D1DA9">
        <w:tc>
          <w:tcPr>
            <w:tcW w:w="715" w:type="dxa"/>
          </w:tcPr>
          <w:p w14:paraId="748109A8" w14:textId="77777777" w:rsidR="0097594C" w:rsidRDefault="0097594C" w:rsidP="000D1DA9"/>
        </w:tc>
        <w:tc>
          <w:tcPr>
            <w:tcW w:w="2880" w:type="dxa"/>
          </w:tcPr>
          <w:p w14:paraId="155C73E3" w14:textId="77777777" w:rsidR="0097594C" w:rsidRDefault="0097594C" w:rsidP="000D1DA9">
            <w:r>
              <w:t>Solar radiation</w:t>
            </w:r>
          </w:p>
        </w:tc>
        <w:tc>
          <w:tcPr>
            <w:tcW w:w="5421" w:type="dxa"/>
          </w:tcPr>
          <w:p w14:paraId="16D676B4" w14:textId="77777777" w:rsidR="0097594C" w:rsidRDefault="0097594C" w:rsidP="000D1DA9">
            <w:r>
              <w:t>Average 6 to 8 hours per day full sun</w:t>
            </w:r>
          </w:p>
        </w:tc>
      </w:tr>
      <w:tr w:rsidR="0097594C" w14:paraId="6405B668" w14:textId="77777777" w:rsidTr="000D1DA9">
        <w:tc>
          <w:tcPr>
            <w:tcW w:w="715" w:type="dxa"/>
          </w:tcPr>
          <w:p w14:paraId="2883A520" w14:textId="77777777" w:rsidR="0097594C" w:rsidRDefault="0097594C" w:rsidP="000D1DA9"/>
        </w:tc>
        <w:tc>
          <w:tcPr>
            <w:tcW w:w="2880" w:type="dxa"/>
          </w:tcPr>
          <w:p w14:paraId="5D628800" w14:textId="77777777" w:rsidR="0097594C" w:rsidRDefault="0097594C" w:rsidP="000D1DA9">
            <w:r>
              <w:t>Altitude and topography</w:t>
            </w:r>
          </w:p>
        </w:tc>
        <w:tc>
          <w:tcPr>
            <w:tcW w:w="5421" w:type="dxa"/>
          </w:tcPr>
          <w:p w14:paraId="28085DDD" w14:textId="77777777" w:rsidR="0097594C" w:rsidRDefault="0097594C" w:rsidP="000D1DA9">
            <w:r>
              <w:t>Approximately 2 metres above 3 level, flat</w:t>
            </w:r>
          </w:p>
        </w:tc>
      </w:tr>
      <w:tr w:rsidR="0097594C" w14:paraId="19E28C0F" w14:textId="77777777" w:rsidTr="000D1DA9">
        <w:tc>
          <w:tcPr>
            <w:tcW w:w="715" w:type="dxa"/>
          </w:tcPr>
          <w:p w14:paraId="4A33ACCA" w14:textId="77777777" w:rsidR="0097594C" w:rsidRDefault="0097594C" w:rsidP="000D1DA9"/>
        </w:tc>
        <w:tc>
          <w:tcPr>
            <w:tcW w:w="2880" w:type="dxa"/>
          </w:tcPr>
          <w:p w14:paraId="3B78A8A2" w14:textId="77777777" w:rsidR="0097594C" w:rsidRDefault="0097594C" w:rsidP="000D1DA9">
            <w:r>
              <w:t>Airborne pollution</w:t>
            </w:r>
          </w:p>
        </w:tc>
        <w:tc>
          <w:tcPr>
            <w:tcW w:w="5421" w:type="dxa"/>
          </w:tcPr>
          <w:p w14:paraId="1EEA343B" w14:textId="3B73D114" w:rsidR="0097594C" w:rsidRDefault="0097594C" w:rsidP="000D1DA9">
            <w:r>
              <w:t>Fine coral sand</w:t>
            </w:r>
            <w:r w:rsidR="006E2677">
              <w:t>, salt spray</w:t>
            </w:r>
            <w:r>
              <w:t xml:space="preserve"> </w:t>
            </w:r>
          </w:p>
        </w:tc>
      </w:tr>
    </w:tbl>
    <w:p w14:paraId="2323E003" w14:textId="77777777" w:rsidR="0097594C" w:rsidRDefault="0097594C"/>
    <w:p w14:paraId="32558E49" w14:textId="77777777" w:rsidR="0097594C" w:rsidRDefault="0097594C" w:rsidP="000131F4">
      <w:pPr>
        <w:rPr>
          <w:b/>
        </w:rPr>
      </w:pPr>
      <w:r>
        <w:rPr>
          <w:b/>
        </w:rPr>
        <w:t>GENERAL REQUIREMENTS</w:t>
      </w:r>
    </w:p>
    <w:tbl>
      <w:tblPr>
        <w:tblStyle w:val="TableGrid"/>
        <w:tblW w:w="0" w:type="auto"/>
        <w:tblLook w:val="04A0" w:firstRow="1" w:lastRow="0" w:firstColumn="1" w:lastColumn="0" w:noHBand="0" w:noVBand="1"/>
      </w:tblPr>
      <w:tblGrid>
        <w:gridCol w:w="895"/>
        <w:gridCol w:w="2700"/>
        <w:gridCol w:w="5421"/>
      </w:tblGrid>
      <w:tr w:rsidR="0097594C" w:rsidRPr="00F743D4" w14:paraId="7EA22914" w14:textId="77777777" w:rsidTr="000D1DA9">
        <w:tc>
          <w:tcPr>
            <w:tcW w:w="895" w:type="dxa"/>
          </w:tcPr>
          <w:p w14:paraId="17404D08" w14:textId="77777777" w:rsidR="0097594C" w:rsidRPr="00F743D4" w:rsidRDefault="0097594C" w:rsidP="00F743D4">
            <w:pPr>
              <w:jc w:val="center"/>
              <w:rPr>
                <w:b/>
              </w:rPr>
            </w:pPr>
          </w:p>
        </w:tc>
        <w:tc>
          <w:tcPr>
            <w:tcW w:w="2700" w:type="dxa"/>
          </w:tcPr>
          <w:p w14:paraId="18D7DC76" w14:textId="77777777" w:rsidR="0097594C" w:rsidRPr="00F743D4" w:rsidRDefault="0097594C" w:rsidP="00F743D4">
            <w:pPr>
              <w:jc w:val="center"/>
              <w:rPr>
                <w:b/>
              </w:rPr>
            </w:pPr>
            <w:r w:rsidRPr="00F743D4">
              <w:rPr>
                <w:b/>
              </w:rPr>
              <w:t>ITEM</w:t>
            </w:r>
          </w:p>
        </w:tc>
        <w:tc>
          <w:tcPr>
            <w:tcW w:w="5421" w:type="dxa"/>
          </w:tcPr>
          <w:p w14:paraId="2C316952" w14:textId="77777777" w:rsidR="0097594C" w:rsidRPr="00F743D4" w:rsidRDefault="0097594C" w:rsidP="00F743D4">
            <w:pPr>
              <w:jc w:val="center"/>
              <w:rPr>
                <w:b/>
              </w:rPr>
            </w:pPr>
            <w:r w:rsidRPr="00F743D4">
              <w:rPr>
                <w:b/>
              </w:rPr>
              <w:t>REQUIREMENTS</w:t>
            </w:r>
          </w:p>
        </w:tc>
      </w:tr>
      <w:tr w:rsidR="0097594C" w14:paraId="526E9CAF" w14:textId="77777777" w:rsidTr="000D1DA9">
        <w:tc>
          <w:tcPr>
            <w:tcW w:w="895" w:type="dxa"/>
          </w:tcPr>
          <w:p w14:paraId="2E0EF09C" w14:textId="77777777" w:rsidR="0097594C" w:rsidRDefault="0097594C" w:rsidP="000D1DA9"/>
        </w:tc>
        <w:tc>
          <w:tcPr>
            <w:tcW w:w="2700" w:type="dxa"/>
          </w:tcPr>
          <w:p w14:paraId="0E314C65" w14:textId="77777777" w:rsidR="0097594C" w:rsidRDefault="0097594C" w:rsidP="000D1DA9">
            <w:r>
              <w:t>Carrying capacity and construction</w:t>
            </w:r>
          </w:p>
        </w:tc>
        <w:tc>
          <w:tcPr>
            <w:tcW w:w="5421" w:type="dxa"/>
          </w:tcPr>
          <w:p w14:paraId="144C6941" w14:textId="35BC698B" w:rsidR="0097594C" w:rsidRPr="00A356EF" w:rsidRDefault="005E167D" w:rsidP="000D1DA9">
            <w:r w:rsidRPr="00A356EF">
              <w:t>Seat to accommodate an adult driver and adult pillion passenger</w:t>
            </w:r>
            <w:r w:rsidR="009E7C29">
              <w:t>, high carrying capacity preferred.</w:t>
            </w:r>
          </w:p>
        </w:tc>
      </w:tr>
      <w:tr w:rsidR="009E6AF0" w14:paraId="7CC662C0" w14:textId="77777777" w:rsidTr="000D1DA9">
        <w:tc>
          <w:tcPr>
            <w:tcW w:w="895" w:type="dxa"/>
          </w:tcPr>
          <w:p w14:paraId="1BB5812B" w14:textId="77777777" w:rsidR="009E6AF0" w:rsidRDefault="009E6AF0" w:rsidP="000D1DA9"/>
        </w:tc>
        <w:tc>
          <w:tcPr>
            <w:tcW w:w="2700" w:type="dxa"/>
          </w:tcPr>
          <w:p w14:paraId="1D291F65" w14:textId="502DE926" w:rsidR="009E6AF0" w:rsidRDefault="009E6AF0" w:rsidP="000D1DA9">
            <w:r>
              <w:t>Configuration</w:t>
            </w:r>
          </w:p>
        </w:tc>
        <w:tc>
          <w:tcPr>
            <w:tcW w:w="5421" w:type="dxa"/>
          </w:tcPr>
          <w:p w14:paraId="4DA63830" w14:textId="733B7C9E" w:rsidR="009E6AF0" w:rsidRDefault="009E6AF0" w:rsidP="000D1DA9">
            <w:r>
              <w:t>Step-through, suitable for female drivers</w:t>
            </w:r>
          </w:p>
        </w:tc>
      </w:tr>
      <w:tr w:rsidR="00FE5C08" w14:paraId="1A58E912" w14:textId="77777777" w:rsidTr="000D1DA9">
        <w:tc>
          <w:tcPr>
            <w:tcW w:w="895" w:type="dxa"/>
          </w:tcPr>
          <w:p w14:paraId="1BBB7862" w14:textId="77777777" w:rsidR="00FE5C08" w:rsidRDefault="00FE5C08" w:rsidP="000D1DA9"/>
        </w:tc>
        <w:tc>
          <w:tcPr>
            <w:tcW w:w="2700" w:type="dxa"/>
          </w:tcPr>
          <w:p w14:paraId="02060665" w14:textId="6649A415" w:rsidR="00FE5C08" w:rsidRDefault="00FE5C08" w:rsidP="000D1DA9">
            <w:r>
              <w:t>Footrests</w:t>
            </w:r>
          </w:p>
        </w:tc>
        <w:tc>
          <w:tcPr>
            <w:tcW w:w="5421" w:type="dxa"/>
          </w:tcPr>
          <w:p w14:paraId="3C300C69" w14:textId="7E87D26B" w:rsidR="00FE5C08" w:rsidRPr="00A356EF" w:rsidRDefault="00FE5C08" w:rsidP="000D1DA9">
            <w:r>
              <w:t>Driver and passenger</w:t>
            </w:r>
          </w:p>
        </w:tc>
      </w:tr>
      <w:tr w:rsidR="0097594C" w14:paraId="28AD00D2" w14:textId="77777777" w:rsidTr="000D1DA9">
        <w:tc>
          <w:tcPr>
            <w:tcW w:w="895" w:type="dxa"/>
          </w:tcPr>
          <w:p w14:paraId="787DB6A5" w14:textId="77777777" w:rsidR="0097594C" w:rsidRDefault="0097594C" w:rsidP="000D1DA9"/>
        </w:tc>
        <w:tc>
          <w:tcPr>
            <w:tcW w:w="2700" w:type="dxa"/>
          </w:tcPr>
          <w:p w14:paraId="09D4C650" w14:textId="77777777" w:rsidR="0097594C" w:rsidRDefault="0097594C" w:rsidP="000D1DA9">
            <w:r>
              <w:t>Wheelbase</w:t>
            </w:r>
          </w:p>
        </w:tc>
        <w:tc>
          <w:tcPr>
            <w:tcW w:w="5421" w:type="dxa"/>
          </w:tcPr>
          <w:p w14:paraId="42C8B3F8" w14:textId="036DF90F" w:rsidR="0097594C" w:rsidRPr="00A356EF" w:rsidRDefault="0097594C" w:rsidP="000D1DA9">
            <w:r w:rsidRPr="00A356EF">
              <w:t>Minimum 1</w:t>
            </w:r>
            <w:r w:rsidR="005E167D" w:rsidRPr="00A356EF">
              <w:t>2</w:t>
            </w:r>
            <w:r w:rsidR="00314F69">
              <w:t>3</w:t>
            </w:r>
            <w:r w:rsidR="005E167D" w:rsidRPr="00A356EF">
              <w:t>0</w:t>
            </w:r>
            <w:r w:rsidRPr="00A356EF">
              <w:t>mm</w:t>
            </w:r>
          </w:p>
        </w:tc>
      </w:tr>
      <w:tr w:rsidR="0097594C" w14:paraId="338ED201" w14:textId="77777777" w:rsidTr="000D1DA9">
        <w:tc>
          <w:tcPr>
            <w:tcW w:w="895" w:type="dxa"/>
          </w:tcPr>
          <w:p w14:paraId="100535F5" w14:textId="77777777" w:rsidR="0097594C" w:rsidRDefault="0097594C" w:rsidP="000D1DA9"/>
        </w:tc>
        <w:tc>
          <w:tcPr>
            <w:tcW w:w="2700" w:type="dxa"/>
          </w:tcPr>
          <w:p w14:paraId="32F3BE4A" w14:textId="77777777" w:rsidR="0097594C" w:rsidRDefault="0097594C" w:rsidP="000D1DA9">
            <w:r>
              <w:t>Minimum ground clearance</w:t>
            </w:r>
          </w:p>
        </w:tc>
        <w:tc>
          <w:tcPr>
            <w:tcW w:w="5421" w:type="dxa"/>
          </w:tcPr>
          <w:p w14:paraId="4BD7DEE5" w14:textId="5AA2230C" w:rsidR="0097594C" w:rsidRPr="00A356EF" w:rsidRDefault="0097594C" w:rsidP="000D1DA9">
            <w:r w:rsidRPr="00A356EF">
              <w:t>1</w:t>
            </w:r>
            <w:r w:rsidR="00E90761">
              <w:t>35</w:t>
            </w:r>
            <w:r w:rsidRPr="00A356EF">
              <w:t>mm</w:t>
            </w:r>
          </w:p>
        </w:tc>
      </w:tr>
      <w:tr w:rsidR="0097594C" w14:paraId="69321E19" w14:textId="77777777" w:rsidTr="000D1DA9">
        <w:tc>
          <w:tcPr>
            <w:tcW w:w="895" w:type="dxa"/>
          </w:tcPr>
          <w:p w14:paraId="091B4FE7" w14:textId="77777777" w:rsidR="0097594C" w:rsidRDefault="0097594C" w:rsidP="000D1DA9"/>
        </w:tc>
        <w:tc>
          <w:tcPr>
            <w:tcW w:w="2700" w:type="dxa"/>
          </w:tcPr>
          <w:p w14:paraId="77D4F4BB" w14:textId="77777777" w:rsidR="0097594C" w:rsidRDefault="0097594C" w:rsidP="000D1DA9">
            <w:r>
              <w:t>Seat height</w:t>
            </w:r>
          </w:p>
        </w:tc>
        <w:tc>
          <w:tcPr>
            <w:tcW w:w="5421" w:type="dxa"/>
          </w:tcPr>
          <w:p w14:paraId="3FBDA365" w14:textId="77777777" w:rsidR="0097594C" w:rsidRDefault="0097594C" w:rsidP="000D1DA9">
            <w:r>
              <w:t>Minimum 700mm</w:t>
            </w:r>
          </w:p>
        </w:tc>
      </w:tr>
      <w:tr w:rsidR="0097594C" w14:paraId="425B7D32" w14:textId="77777777" w:rsidTr="000D1DA9">
        <w:tc>
          <w:tcPr>
            <w:tcW w:w="895" w:type="dxa"/>
          </w:tcPr>
          <w:p w14:paraId="42B99F11" w14:textId="77777777" w:rsidR="0097594C" w:rsidRDefault="0097594C" w:rsidP="000D1DA9"/>
        </w:tc>
        <w:tc>
          <w:tcPr>
            <w:tcW w:w="2700" w:type="dxa"/>
          </w:tcPr>
          <w:p w14:paraId="66181DEC" w14:textId="77777777" w:rsidR="0097594C" w:rsidRDefault="0097594C" w:rsidP="000D1DA9">
            <w:r>
              <w:t>Stand</w:t>
            </w:r>
          </w:p>
        </w:tc>
        <w:tc>
          <w:tcPr>
            <w:tcW w:w="5421" w:type="dxa"/>
          </w:tcPr>
          <w:p w14:paraId="4640E344" w14:textId="39E4C9A2" w:rsidR="0097594C" w:rsidRDefault="0097594C" w:rsidP="000D1DA9">
            <w:r>
              <w:t>Side stand</w:t>
            </w:r>
            <w:r w:rsidR="00C63F6E">
              <w:t xml:space="preserve"> or centre stand. Side preferred.</w:t>
            </w:r>
            <w:r>
              <w:t xml:space="preserve"> </w:t>
            </w:r>
            <w:r w:rsidR="00147478">
              <w:t xml:space="preserve"> </w:t>
            </w:r>
          </w:p>
        </w:tc>
      </w:tr>
      <w:tr w:rsidR="0097594C" w14:paraId="382E5471" w14:textId="77777777" w:rsidTr="000D1DA9">
        <w:tc>
          <w:tcPr>
            <w:tcW w:w="895" w:type="dxa"/>
          </w:tcPr>
          <w:p w14:paraId="6F83CE1D" w14:textId="77777777" w:rsidR="0097594C" w:rsidRDefault="0097594C" w:rsidP="000D1DA9"/>
        </w:tc>
        <w:tc>
          <w:tcPr>
            <w:tcW w:w="2700" w:type="dxa"/>
          </w:tcPr>
          <w:p w14:paraId="2E8715DD" w14:textId="77777777" w:rsidR="0097594C" w:rsidRDefault="0097594C" w:rsidP="000D1DA9">
            <w:r>
              <w:t>Range on fully charged batteries</w:t>
            </w:r>
          </w:p>
        </w:tc>
        <w:tc>
          <w:tcPr>
            <w:tcW w:w="5421" w:type="dxa"/>
          </w:tcPr>
          <w:p w14:paraId="0F5E8559" w14:textId="1B9045F5" w:rsidR="0097594C" w:rsidRDefault="0097594C" w:rsidP="000D1DA9">
            <w:r>
              <w:t xml:space="preserve">Minimum </w:t>
            </w:r>
            <w:r w:rsidRPr="00A356EF">
              <w:t>40km</w:t>
            </w:r>
          </w:p>
        </w:tc>
      </w:tr>
      <w:tr w:rsidR="0097594C" w14:paraId="1AAE3855" w14:textId="77777777" w:rsidTr="000D1DA9">
        <w:tc>
          <w:tcPr>
            <w:tcW w:w="895" w:type="dxa"/>
          </w:tcPr>
          <w:p w14:paraId="646A33DD" w14:textId="77777777" w:rsidR="0097594C" w:rsidRDefault="0097594C" w:rsidP="000D1DA9"/>
        </w:tc>
        <w:tc>
          <w:tcPr>
            <w:tcW w:w="2700" w:type="dxa"/>
          </w:tcPr>
          <w:p w14:paraId="595483B2" w14:textId="77777777" w:rsidR="0097594C" w:rsidRDefault="0097594C" w:rsidP="000D1DA9">
            <w:r>
              <w:t>Maximum speed</w:t>
            </w:r>
          </w:p>
        </w:tc>
        <w:tc>
          <w:tcPr>
            <w:tcW w:w="5421" w:type="dxa"/>
          </w:tcPr>
          <w:p w14:paraId="1A4D1869" w14:textId="44EED605" w:rsidR="0097594C" w:rsidRDefault="0097594C" w:rsidP="000D1DA9">
            <w:r>
              <w:t xml:space="preserve">At least </w:t>
            </w:r>
            <w:r w:rsidR="00006C59">
              <w:t>45</w:t>
            </w:r>
            <w:r>
              <w:t>km/h</w:t>
            </w:r>
          </w:p>
        </w:tc>
      </w:tr>
      <w:tr w:rsidR="0097594C" w14:paraId="6BEF3BCA" w14:textId="77777777" w:rsidTr="000D1DA9">
        <w:tc>
          <w:tcPr>
            <w:tcW w:w="895" w:type="dxa"/>
          </w:tcPr>
          <w:p w14:paraId="28B3D398" w14:textId="77777777" w:rsidR="0097594C" w:rsidRDefault="0097594C" w:rsidP="000D1DA9"/>
        </w:tc>
        <w:tc>
          <w:tcPr>
            <w:tcW w:w="2700" w:type="dxa"/>
          </w:tcPr>
          <w:p w14:paraId="15C94956" w14:textId="77777777" w:rsidR="0097594C" w:rsidRDefault="0097594C" w:rsidP="000D1DA9">
            <w:r>
              <w:t>Battery enclosure</w:t>
            </w:r>
          </w:p>
        </w:tc>
        <w:tc>
          <w:tcPr>
            <w:tcW w:w="5421" w:type="dxa"/>
          </w:tcPr>
          <w:p w14:paraId="660F16EC" w14:textId="7F6E6C82" w:rsidR="0097594C" w:rsidRDefault="0097594C" w:rsidP="000D1DA9">
            <w:r>
              <w:t xml:space="preserve">To be concealed within </w:t>
            </w:r>
            <w:r w:rsidR="00685B33">
              <w:t>vehicle</w:t>
            </w:r>
            <w:r>
              <w:t>, protected from weather</w:t>
            </w:r>
          </w:p>
        </w:tc>
      </w:tr>
    </w:tbl>
    <w:p w14:paraId="53D5AF57" w14:textId="77777777" w:rsidR="0097594C" w:rsidRDefault="0097594C"/>
    <w:p w14:paraId="47B4794B" w14:textId="77777777" w:rsidR="0097594C" w:rsidRPr="003E19CA" w:rsidRDefault="0097594C" w:rsidP="004D08CB">
      <w:pPr>
        <w:rPr>
          <w:b/>
        </w:rPr>
      </w:pPr>
      <w:r w:rsidRPr="003E19CA">
        <w:rPr>
          <w:b/>
        </w:rPr>
        <w:t>DRIVE MOTOR AND TRANSMISSION</w:t>
      </w:r>
    </w:p>
    <w:tbl>
      <w:tblPr>
        <w:tblStyle w:val="TableGrid"/>
        <w:tblW w:w="0" w:type="auto"/>
        <w:tblLook w:val="04A0" w:firstRow="1" w:lastRow="0" w:firstColumn="1" w:lastColumn="0" w:noHBand="0" w:noVBand="1"/>
      </w:tblPr>
      <w:tblGrid>
        <w:gridCol w:w="715"/>
        <w:gridCol w:w="2880"/>
        <w:gridCol w:w="5421"/>
      </w:tblGrid>
      <w:tr w:rsidR="0097594C" w:rsidRPr="003E19CA" w14:paraId="7973B7A8" w14:textId="77777777" w:rsidTr="000D1DA9">
        <w:tc>
          <w:tcPr>
            <w:tcW w:w="715" w:type="dxa"/>
          </w:tcPr>
          <w:p w14:paraId="719E002B" w14:textId="77777777" w:rsidR="0097594C" w:rsidRPr="003E19CA" w:rsidRDefault="0097594C" w:rsidP="000D1DA9">
            <w:pPr>
              <w:jc w:val="center"/>
              <w:rPr>
                <w:b/>
              </w:rPr>
            </w:pPr>
          </w:p>
        </w:tc>
        <w:tc>
          <w:tcPr>
            <w:tcW w:w="2880" w:type="dxa"/>
          </w:tcPr>
          <w:p w14:paraId="55796E3A" w14:textId="77777777" w:rsidR="0097594C" w:rsidRPr="003E19CA" w:rsidRDefault="0097594C" w:rsidP="000D1DA9">
            <w:pPr>
              <w:jc w:val="center"/>
              <w:rPr>
                <w:b/>
              </w:rPr>
            </w:pPr>
            <w:r w:rsidRPr="003E19CA">
              <w:rPr>
                <w:b/>
              </w:rPr>
              <w:t>ITEM</w:t>
            </w:r>
          </w:p>
        </w:tc>
        <w:tc>
          <w:tcPr>
            <w:tcW w:w="5421" w:type="dxa"/>
          </w:tcPr>
          <w:p w14:paraId="2E86839C" w14:textId="77777777" w:rsidR="0097594C" w:rsidRPr="003E19CA" w:rsidRDefault="0097594C" w:rsidP="000D1DA9">
            <w:pPr>
              <w:jc w:val="center"/>
              <w:rPr>
                <w:b/>
              </w:rPr>
            </w:pPr>
            <w:r w:rsidRPr="003E19CA">
              <w:rPr>
                <w:b/>
              </w:rPr>
              <w:t>REQUIREMENTS</w:t>
            </w:r>
          </w:p>
        </w:tc>
      </w:tr>
      <w:tr w:rsidR="0097594C" w14:paraId="1A923B3D" w14:textId="77777777" w:rsidTr="000D1DA9">
        <w:tc>
          <w:tcPr>
            <w:tcW w:w="715" w:type="dxa"/>
          </w:tcPr>
          <w:p w14:paraId="6759ACE1" w14:textId="77777777" w:rsidR="0097594C" w:rsidRDefault="0097594C" w:rsidP="000D1DA9"/>
        </w:tc>
        <w:tc>
          <w:tcPr>
            <w:tcW w:w="2880" w:type="dxa"/>
          </w:tcPr>
          <w:p w14:paraId="764A0F86" w14:textId="77777777" w:rsidR="0097594C" w:rsidRDefault="0097594C" w:rsidP="000D1DA9">
            <w:r>
              <w:t>Drive motor</w:t>
            </w:r>
          </w:p>
        </w:tc>
        <w:tc>
          <w:tcPr>
            <w:tcW w:w="5421" w:type="dxa"/>
          </w:tcPr>
          <w:p w14:paraId="12427514" w14:textId="48AD8553" w:rsidR="0097594C" w:rsidRDefault="00E90761" w:rsidP="000D1DA9">
            <w:r>
              <w:t>Electric, maintainable</w:t>
            </w:r>
            <w:r w:rsidR="004E4197">
              <w:t>, brushless preferred</w:t>
            </w:r>
          </w:p>
        </w:tc>
      </w:tr>
      <w:tr w:rsidR="00314F69" w14:paraId="6A7D3007" w14:textId="77777777" w:rsidTr="000D1DA9">
        <w:tc>
          <w:tcPr>
            <w:tcW w:w="715" w:type="dxa"/>
          </w:tcPr>
          <w:p w14:paraId="07C37D01" w14:textId="77777777" w:rsidR="00314F69" w:rsidRDefault="00314F69" w:rsidP="000D1DA9"/>
        </w:tc>
        <w:tc>
          <w:tcPr>
            <w:tcW w:w="2880" w:type="dxa"/>
          </w:tcPr>
          <w:p w14:paraId="719F4CE0" w14:textId="6E235727" w:rsidR="00314F69" w:rsidRDefault="00314F69" w:rsidP="000D1DA9">
            <w:r>
              <w:t>Motor continuous rating</w:t>
            </w:r>
          </w:p>
        </w:tc>
        <w:tc>
          <w:tcPr>
            <w:tcW w:w="5421" w:type="dxa"/>
          </w:tcPr>
          <w:p w14:paraId="07553274" w14:textId="7C1810D2" w:rsidR="00314F69" w:rsidRDefault="00314F69" w:rsidP="000D1DA9">
            <w:r>
              <w:t>1</w:t>
            </w:r>
            <w:r w:rsidR="00194C8D">
              <w:t>000</w:t>
            </w:r>
            <w:r>
              <w:t xml:space="preserve"> watts or greater</w:t>
            </w:r>
          </w:p>
        </w:tc>
      </w:tr>
      <w:tr w:rsidR="0097594C" w14:paraId="6218FF95" w14:textId="77777777" w:rsidTr="000D1DA9">
        <w:tc>
          <w:tcPr>
            <w:tcW w:w="715" w:type="dxa"/>
          </w:tcPr>
          <w:p w14:paraId="76F744C2" w14:textId="77777777" w:rsidR="0097594C" w:rsidRDefault="0097594C" w:rsidP="000D1DA9"/>
        </w:tc>
        <w:tc>
          <w:tcPr>
            <w:tcW w:w="2880" w:type="dxa"/>
          </w:tcPr>
          <w:p w14:paraId="0715D020" w14:textId="77777777" w:rsidR="0097594C" w:rsidRDefault="0097594C" w:rsidP="000D1DA9">
            <w:r>
              <w:t>Electronic controls</w:t>
            </w:r>
          </w:p>
        </w:tc>
        <w:tc>
          <w:tcPr>
            <w:tcW w:w="5421" w:type="dxa"/>
          </w:tcPr>
          <w:p w14:paraId="6ADE02A9" w14:textId="3ADF8C2E" w:rsidR="0097594C" w:rsidRDefault="0097594C" w:rsidP="000D1DA9">
            <w:r>
              <w:t xml:space="preserve">Replaceable and </w:t>
            </w:r>
            <w:r w:rsidR="00006C59">
              <w:t>suitable for tropical environment</w:t>
            </w:r>
          </w:p>
        </w:tc>
      </w:tr>
      <w:tr w:rsidR="0097594C" w14:paraId="4B69656C" w14:textId="77777777" w:rsidTr="000D1DA9">
        <w:tc>
          <w:tcPr>
            <w:tcW w:w="715" w:type="dxa"/>
          </w:tcPr>
          <w:p w14:paraId="7411F06F" w14:textId="77777777" w:rsidR="0097594C" w:rsidRDefault="0097594C" w:rsidP="000D1DA9"/>
        </w:tc>
        <w:tc>
          <w:tcPr>
            <w:tcW w:w="2880" w:type="dxa"/>
          </w:tcPr>
          <w:p w14:paraId="6F41D572" w14:textId="77777777" w:rsidR="0097594C" w:rsidRDefault="0097594C" w:rsidP="000D1DA9">
            <w:r>
              <w:t>Electronic and electrical connectors</w:t>
            </w:r>
          </w:p>
        </w:tc>
        <w:tc>
          <w:tcPr>
            <w:tcW w:w="5421" w:type="dxa"/>
          </w:tcPr>
          <w:p w14:paraId="4BA671D2" w14:textId="77777777" w:rsidR="0097594C" w:rsidRDefault="0097594C" w:rsidP="000D1DA9">
            <w:r>
              <w:t>Vibration proof and proofed against moisture ingress and condensation</w:t>
            </w:r>
          </w:p>
        </w:tc>
      </w:tr>
    </w:tbl>
    <w:p w14:paraId="5CFFB5A6" w14:textId="77777777" w:rsidR="00147478" w:rsidRDefault="00147478" w:rsidP="004D08CB">
      <w:pPr>
        <w:rPr>
          <w:b/>
        </w:rPr>
      </w:pPr>
    </w:p>
    <w:p w14:paraId="2564BBCC" w14:textId="5C0F9623" w:rsidR="0097594C" w:rsidRDefault="0097594C" w:rsidP="004D08CB">
      <w:pPr>
        <w:rPr>
          <w:b/>
        </w:rPr>
      </w:pPr>
      <w:r>
        <w:rPr>
          <w:b/>
        </w:rPr>
        <w:t>SUSPENSION, WHEELS, BRAKES</w:t>
      </w:r>
    </w:p>
    <w:tbl>
      <w:tblPr>
        <w:tblStyle w:val="TableGrid"/>
        <w:tblW w:w="0" w:type="auto"/>
        <w:tblLook w:val="04A0" w:firstRow="1" w:lastRow="0" w:firstColumn="1" w:lastColumn="0" w:noHBand="0" w:noVBand="1"/>
      </w:tblPr>
      <w:tblGrid>
        <w:gridCol w:w="715"/>
        <w:gridCol w:w="3060"/>
        <w:gridCol w:w="5241"/>
      </w:tblGrid>
      <w:tr w:rsidR="0097594C" w14:paraId="5AC136B2" w14:textId="77777777" w:rsidTr="000D1DA9">
        <w:tc>
          <w:tcPr>
            <w:tcW w:w="715" w:type="dxa"/>
          </w:tcPr>
          <w:p w14:paraId="2485599A" w14:textId="77777777" w:rsidR="0097594C" w:rsidRDefault="0097594C" w:rsidP="000D1DA9">
            <w:pPr>
              <w:jc w:val="center"/>
              <w:rPr>
                <w:b/>
              </w:rPr>
            </w:pPr>
          </w:p>
        </w:tc>
        <w:tc>
          <w:tcPr>
            <w:tcW w:w="3060" w:type="dxa"/>
          </w:tcPr>
          <w:p w14:paraId="2ACB3047" w14:textId="77777777" w:rsidR="0097594C" w:rsidRDefault="0097594C" w:rsidP="000D1DA9">
            <w:pPr>
              <w:jc w:val="center"/>
              <w:rPr>
                <w:b/>
              </w:rPr>
            </w:pPr>
            <w:r>
              <w:rPr>
                <w:b/>
              </w:rPr>
              <w:t>ITEM</w:t>
            </w:r>
          </w:p>
        </w:tc>
        <w:tc>
          <w:tcPr>
            <w:tcW w:w="5241" w:type="dxa"/>
          </w:tcPr>
          <w:p w14:paraId="5007EAA2" w14:textId="77777777" w:rsidR="0097594C" w:rsidRDefault="0097594C" w:rsidP="000D1DA9">
            <w:pPr>
              <w:jc w:val="center"/>
              <w:rPr>
                <w:b/>
              </w:rPr>
            </w:pPr>
            <w:r>
              <w:rPr>
                <w:b/>
              </w:rPr>
              <w:t>REQUIREMENTS</w:t>
            </w:r>
          </w:p>
        </w:tc>
      </w:tr>
      <w:tr w:rsidR="0097594C" w14:paraId="1D5777BA" w14:textId="77777777" w:rsidTr="000D1DA9">
        <w:tc>
          <w:tcPr>
            <w:tcW w:w="715" w:type="dxa"/>
          </w:tcPr>
          <w:p w14:paraId="415C2F71" w14:textId="77777777" w:rsidR="0097594C" w:rsidRDefault="0097594C" w:rsidP="000D1DA9">
            <w:pPr>
              <w:rPr>
                <w:b/>
              </w:rPr>
            </w:pPr>
          </w:p>
        </w:tc>
        <w:tc>
          <w:tcPr>
            <w:tcW w:w="3060" w:type="dxa"/>
          </w:tcPr>
          <w:p w14:paraId="0894E7A8" w14:textId="77777777" w:rsidR="0097594C" w:rsidRPr="003E19CA" w:rsidRDefault="0097594C" w:rsidP="000D1DA9">
            <w:r>
              <w:t>Front suspension</w:t>
            </w:r>
          </w:p>
        </w:tc>
        <w:tc>
          <w:tcPr>
            <w:tcW w:w="5241" w:type="dxa"/>
          </w:tcPr>
          <w:p w14:paraId="5387D732" w14:textId="77777777" w:rsidR="0097594C" w:rsidRPr="003E19CA" w:rsidRDefault="0097594C" w:rsidP="000D1DA9">
            <w:r w:rsidRPr="003E19CA">
              <w:t>Telescopic forks</w:t>
            </w:r>
          </w:p>
        </w:tc>
      </w:tr>
      <w:tr w:rsidR="0097594C" w14:paraId="5E3399C2" w14:textId="77777777" w:rsidTr="000D1DA9">
        <w:tc>
          <w:tcPr>
            <w:tcW w:w="715" w:type="dxa"/>
          </w:tcPr>
          <w:p w14:paraId="3F98D6E3" w14:textId="77777777" w:rsidR="0097594C" w:rsidRDefault="0097594C" w:rsidP="000D1DA9">
            <w:pPr>
              <w:rPr>
                <w:b/>
              </w:rPr>
            </w:pPr>
          </w:p>
        </w:tc>
        <w:tc>
          <w:tcPr>
            <w:tcW w:w="3060" w:type="dxa"/>
          </w:tcPr>
          <w:p w14:paraId="6578A4C5" w14:textId="77777777" w:rsidR="0097594C" w:rsidRPr="003E19CA" w:rsidRDefault="0097594C" w:rsidP="000D1DA9">
            <w:r>
              <w:t>Rear suspension</w:t>
            </w:r>
          </w:p>
        </w:tc>
        <w:tc>
          <w:tcPr>
            <w:tcW w:w="5241" w:type="dxa"/>
          </w:tcPr>
          <w:p w14:paraId="6055FF64" w14:textId="0980C191" w:rsidR="0097594C" w:rsidRPr="00530E64" w:rsidRDefault="0097594C" w:rsidP="000D1DA9">
            <w:r w:rsidRPr="00530E64">
              <w:t>Swinging arm</w:t>
            </w:r>
          </w:p>
        </w:tc>
      </w:tr>
      <w:tr w:rsidR="0097594C" w14:paraId="44487D64" w14:textId="77777777" w:rsidTr="000D1DA9">
        <w:tc>
          <w:tcPr>
            <w:tcW w:w="715" w:type="dxa"/>
          </w:tcPr>
          <w:p w14:paraId="7C9EA008" w14:textId="77777777" w:rsidR="0097594C" w:rsidRDefault="0097594C" w:rsidP="000D1DA9">
            <w:pPr>
              <w:rPr>
                <w:b/>
              </w:rPr>
            </w:pPr>
          </w:p>
        </w:tc>
        <w:tc>
          <w:tcPr>
            <w:tcW w:w="3060" w:type="dxa"/>
          </w:tcPr>
          <w:p w14:paraId="6C6E5D12" w14:textId="77777777" w:rsidR="0097594C" w:rsidRDefault="0097594C" w:rsidP="000D1DA9">
            <w:r>
              <w:t>Wheel material</w:t>
            </w:r>
          </w:p>
        </w:tc>
        <w:tc>
          <w:tcPr>
            <w:tcW w:w="5241" w:type="dxa"/>
          </w:tcPr>
          <w:p w14:paraId="60F579A4" w14:textId="77777777" w:rsidR="0097594C" w:rsidRPr="00E9406B" w:rsidRDefault="0097594C" w:rsidP="000D1DA9">
            <w:r>
              <w:t>Metal, corrosion resistant</w:t>
            </w:r>
          </w:p>
        </w:tc>
      </w:tr>
      <w:tr w:rsidR="0097594C" w14:paraId="5C1491E4" w14:textId="77777777" w:rsidTr="000D1DA9">
        <w:tc>
          <w:tcPr>
            <w:tcW w:w="715" w:type="dxa"/>
          </w:tcPr>
          <w:p w14:paraId="2BFF45FD" w14:textId="77777777" w:rsidR="0097594C" w:rsidRDefault="0097594C" w:rsidP="000D1DA9">
            <w:pPr>
              <w:rPr>
                <w:b/>
              </w:rPr>
            </w:pPr>
          </w:p>
        </w:tc>
        <w:tc>
          <w:tcPr>
            <w:tcW w:w="3060" w:type="dxa"/>
          </w:tcPr>
          <w:p w14:paraId="7B2CBA85" w14:textId="77777777" w:rsidR="0097594C" w:rsidRPr="003E19CA" w:rsidRDefault="0097594C" w:rsidP="000D1DA9">
            <w:r>
              <w:t>Wheel rim diameter</w:t>
            </w:r>
          </w:p>
        </w:tc>
        <w:tc>
          <w:tcPr>
            <w:tcW w:w="5241" w:type="dxa"/>
          </w:tcPr>
          <w:p w14:paraId="7DFC88AF" w14:textId="40B51A84" w:rsidR="0097594C" w:rsidRPr="00E9406B" w:rsidRDefault="00E42FC1" w:rsidP="000D1DA9">
            <w:r>
              <w:t xml:space="preserve">Minimum 12 inch, </w:t>
            </w:r>
            <w:r w:rsidR="0097594C" w:rsidRPr="00E9406B">
              <w:t>1</w:t>
            </w:r>
            <w:r w:rsidR="00C70B64">
              <w:t>7</w:t>
            </w:r>
            <w:r w:rsidR="0097594C" w:rsidRPr="00E9406B">
              <w:t xml:space="preserve"> inch </w:t>
            </w:r>
            <w:r w:rsidR="00115512">
              <w:t>preferred</w:t>
            </w:r>
          </w:p>
        </w:tc>
      </w:tr>
      <w:tr w:rsidR="0097594C" w14:paraId="64BD6923" w14:textId="77777777" w:rsidTr="000D1DA9">
        <w:tc>
          <w:tcPr>
            <w:tcW w:w="715" w:type="dxa"/>
          </w:tcPr>
          <w:p w14:paraId="1C2DBC76" w14:textId="77777777" w:rsidR="0097594C" w:rsidRDefault="0097594C" w:rsidP="000D1DA9">
            <w:pPr>
              <w:rPr>
                <w:b/>
              </w:rPr>
            </w:pPr>
          </w:p>
        </w:tc>
        <w:tc>
          <w:tcPr>
            <w:tcW w:w="3060" w:type="dxa"/>
          </w:tcPr>
          <w:p w14:paraId="21A3AC2C" w14:textId="77777777" w:rsidR="0097594C" w:rsidRDefault="0097594C" w:rsidP="000D1DA9">
            <w:r>
              <w:t>Braking system</w:t>
            </w:r>
          </w:p>
        </w:tc>
        <w:tc>
          <w:tcPr>
            <w:tcW w:w="5241" w:type="dxa"/>
          </w:tcPr>
          <w:p w14:paraId="1F10DB65" w14:textId="610E70F6" w:rsidR="0097594C" w:rsidRDefault="0097594C" w:rsidP="000D1DA9">
            <w:r>
              <w:t>ABS or linked front and rear brakes will be an advantage</w:t>
            </w:r>
            <w:r w:rsidR="00CF0FA9">
              <w:t>, but are not essential</w:t>
            </w:r>
          </w:p>
        </w:tc>
      </w:tr>
      <w:tr w:rsidR="0097594C" w14:paraId="34D4CA5C" w14:textId="77777777" w:rsidTr="000D1DA9">
        <w:tc>
          <w:tcPr>
            <w:tcW w:w="715" w:type="dxa"/>
          </w:tcPr>
          <w:p w14:paraId="51774D70" w14:textId="77777777" w:rsidR="0097594C" w:rsidRDefault="0097594C" w:rsidP="000D1DA9">
            <w:pPr>
              <w:rPr>
                <w:b/>
              </w:rPr>
            </w:pPr>
          </w:p>
        </w:tc>
        <w:tc>
          <w:tcPr>
            <w:tcW w:w="3060" w:type="dxa"/>
          </w:tcPr>
          <w:p w14:paraId="68E2A6D7" w14:textId="77777777" w:rsidR="0097594C" w:rsidRPr="003E19CA" w:rsidRDefault="0097594C" w:rsidP="000D1DA9">
            <w:r>
              <w:t>Front brake</w:t>
            </w:r>
          </w:p>
        </w:tc>
        <w:tc>
          <w:tcPr>
            <w:tcW w:w="5241" w:type="dxa"/>
          </w:tcPr>
          <w:p w14:paraId="5A27682F" w14:textId="07F9BBFE" w:rsidR="0097594C" w:rsidRPr="00B23A73" w:rsidRDefault="00115512" w:rsidP="000D1DA9">
            <w:r>
              <w:t>Mechanical or hydraulic, d</w:t>
            </w:r>
            <w:r w:rsidR="00E90761">
              <w:t>rum or disk</w:t>
            </w:r>
          </w:p>
        </w:tc>
      </w:tr>
      <w:tr w:rsidR="0097594C" w14:paraId="02B23FC2" w14:textId="77777777" w:rsidTr="000D1DA9">
        <w:tc>
          <w:tcPr>
            <w:tcW w:w="715" w:type="dxa"/>
          </w:tcPr>
          <w:p w14:paraId="62640BDA" w14:textId="77777777" w:rsidR="0097594C" w:rsidRDefault="0097594C" w:rsidP="000D1DA9">
            <w:pPr>
              <w:rPr>
                <w:b/>
              </w:rPr>
            </w:pPr>
          </w:p>
        </w:tc>
        <w:tc>
          <w:tcPr>
            <w:tcW w:w="3060" w:type="dxa"/>
          </w:tcPr>
          <w:p w14:paraId="3327A1A2" w14:textId="77777777" w:rsidR="0097594C" w:rsidRDefault="0097594C" w:rsidP="000D1DA9">
            <w:r>
              <w:t>Rear brake</w:t>
            </w:r>
          </w:p>
        </w:tc>
        <w:tc>
          <w:tcPr>
            <w:tcW w:w="5241" w:type="dxa"/>
          </w:tcPr>
          <w:p w14:paraId="12708BDC" w14:textId="3FAC6229" w:rsidR="0097594C" w:rsidRPr="00B23A73" w:rsidRDefault="0097594C" w:rsidP="000D1DA9">
            <w:r>
              <w:t>Mechanical or hydraulic, drum</w:t>
            </w:r>
            <w:r w:rsidR="00BE263D">
              <w:t xml:space="preserve"> or disk</w:t>
            </w:r>
          </w:p>
        </w:tc>
      </w:tr>
      <w:tr w:rsidR="0097594C" w14:paraId="7719D66B" w14:textId="77777777" w:rsidTr="000D1DA9">
        <w:tc>
          <w:tcPr>
            <w:tcW w:w="715" w:type="dxa"/>
          </w:tcPr>
          <w:p w14:paraId="0B4497DF" w14:textId="77777777" w:rsidR="0097594C" w:rsidRDefault="0097594C" w:rsidP="000D1DA9">
            <w:pPr>
              <w:rPr>
                <w:b/>
              </w:rPr>
            </w:pPr>
          </w:p>
        </w:tc>
        <w:tc>
          <w:tcPr>
            <w:tcW w:w="3060" w:type="dxa"/>
          </w:tcPr>
          <w:p w14:paraId="618307CD" w14:textId="77777777" w:rsidR="0097594C" w:rsidRDefault="0097594C" w:rsidP="000D1DA9">
            <w:r>
              <w:t>Tyres</w:t>
            </w:r>
          </w:p>
        </w:tc>
        <w:tc>
          <w:tcPr>
            <w:tcW w:w="5241" w:type="dxa"/>
          </w:tcPr>
          <w:p w14:paraId="7ACF205F" w14:textId="265D24F7" w:rsidR="0097594C" w:rsidRDefault="0097594C" w:rsidP="000D1DA9">
            <w:r>
              <w:t xml:space="preserve">Tyre construction, load and speed ratings to be provided to </w:t>
            </w:r>
            <w:r w:rsidR="00E90761">
              <w:t xml:space="preserve">be </w:t>
            </w:r>
            <w:r>
              <w:t>suit</w:t>
            </w:r>
            <w:r w:rsidR="00E90761">
              <w:t>able for</w:t>
            </w:r>
            <w:r>
              <w:t xml:space="preserve"> Tuvalu road conditions</w:t>
            </w:r>
          </w:p>
        </w:tc>
      </w:tr>
    </w:tbl>
    <w:p w14:paraId="3543B517" w14:textId="77777777" w:rsidR="0097594C" w:rsidRDefault="0097594C"/>
    <w:p w14:paraId="018714B1" w14:textId="77777777" w:rsidR="0097594C" w:rsidRPr="00035ACF" w:rsidRDefault="0097594C" w:rsidP="001F20CE">
      <w:pPr>
        <w:rPr>
          <w:b/>
        </w:rPr>
      </w:pPr>
      <w:r>
        <w:rPr>
          <w:b/>
        </w:rPr>
        <w:t>EXTERIOR FINISHES AND DURABILITY</w:t>
      </w:r>
    </w:p>
    <w:tbl>
      <w:tblPr>
        <w:tblStyle w:val="TableGrid"/>
        <w:tblW w:w="0" w:type="auto"/>
        <w:tblLook w:val="04A0" w:firstRow="1" w:lastRow="0" w:firstColumn="1" w:lastColumn="0" w:noHBand="0" w:noVBand="1"/>
      </w:tblPr>
      <w:tblGrid>
        <w:gridCol w:w="715"/>
        <w:gridCol w:w="2880"/>
        <w:gridCol w:w="5421"/>
      </w:tblGrid>
      <w:tr w:rsidR="00A91D40" w14:paraId="5D4535DE" w14:textId="77777777" w:rsidTr="000D1DA9">
        <w:tc>
          <w:tcPr>
            <w:tcW w:w="715" w:type="dxa"/>
          </w:tcPr>
          <w:p w14:paraId="6FB8AEF5" w14:textId="77777777" w:rsidR="00A91D40" w:rsidRDefault="00A91D40" w:rsidP="000D1DA9"/>
        </w:tc>
        <w:tc>
          <w:tcPr>
            <w:tcW w:w="2880" w:type="dxa"/>
          </w:tcPr>
          <w:p w14:paraId="1B1CD7B4" w14:textId="375C635D" w:rsidR="00A91D40" w:rsidRDefault="00A91D40" w:rsidP="000D1DA9">
            <w:r>
              <w:t>General requirements</w:t>
            </w:r>
            <w:r w:rsidR="00C316BE">
              <w:t xml:space="preserve"> and corrosion resistance</w:t>
            </w:r>
          </w:p>
        </w:tc>
        <w:tc>
          <w:tcPr>
            <w:tcW w:w="5421" w:type="dxa"/>
          </w:tcPr>
          <w:p w14:paraId="3C8BE10B" w14:textId="34D75439" w:rsidR="00A91D40" w:rsidRDefault="00A91D40" w:rsidP="000D1DA9">
            <w:r>
              <w:t>Suitable for tropical humid conditions with some salt spray during storm conditions</w:t>
            </w:r>
          </w:p>
        </w:tc>
      </w:tr>
      <w:tr w:rsidR="0097594C" w14:paraId="3DB11FA2" w14:textId="77777777" w:rsidTr="000D1DA9">
        <w:tc>
          <w:tcPr>
            <w:tcW w:w="715" w:type="dxa"/>
          </w:tcPr>
          <w:p w14:paraId="36317BE7" w14:textId="77777777" w:rsidR="0097594C" w:rsidRDefault="0097594C" w:rsidP="000D1DA9"/>
        </w:tc>
        <w:tc>
          <w:tcPr>
            <w:tcW w:w="2880" w:type="dxa"/>
          </w:tcPr>
          <w:p w14:paraId="236B3034" w14:textId="77777777" w:rsidR="0097594C" w:rsidRDefault="0097594C" w:rsidP="000D1DA9">
            <w:r>
              <w:t>Bodywork colour</w:t>
            </w:r>
          </w:p>
        </w:tc>
        <w:tc>
          <w:tcPr>
            <w:tcW w:w="5421" w:type="dxa"/>
          </w:tcPr>
          <w:p w14:paraId="6224ED51" w14:textId="503905AE" w:rsidR="0097594C" w:rsidRDefault="0097594C" w:rsidP="000D1DA9">
            <w:r>
              <w:t xml:space="preserve">Preferably bright </w:t>
            </w:r>
            <w:r w:rsidR="00DF12F2">
              <w:t xml:space="preserve">or light </w:t>
            </w:r>
            <w:r>
              <w:t>colour, UV resistant/anti-</w:t>
            </w:r>
            <w:r>
              <w:lastRenderedPageBreak/>
              <w:t>fade finish</w:t>
            </w:r>
          </w:p>
        </w:tc>
      </w:tr>
      <w:tr w:rsidR="0097594C" w14:paraId="44E60157" w14:textId="77777777" w:rsidTr="000D1DA9">
        <w:tc>
          <w:tcPr>
            <w:tcW w:w="715" w:type="dxa"/>
          </w:tcPr>
          <w:p w14:paraId="4F175035" w14:textId="77777777" w:rsidR="0097594C" w:rsidRDefault="0097594C" w:rsidP="000D1DA9"/>
        </w:tc>
        <w:tc>
          <w:tcPr>
            <w:tcW w:w="2880" w:type="dxa"/>
          </w:tcPr>
          <w:p w14:paraId="4C6CF099" w14:textId="77777777" w:rsidR="0097594C" w:rsidRDefault="0097594C" w:rsidP="000D1DA9">
            <w:r>
              <w:t>Seat</w:t>
            </w:r>
          </w:p>
        </w:tc>
        <w:tc>
          <w:tcPr>
            <w:tcW w:w="5421" w:type="dxa"/>
          </w:tcPr>
          <w:p w14:paraId="0A56F447" w14:textId="2BCB7EED" w:rsidR="0097594C" w:rsidRDefault="0097594C" w:rsidP="000D1DA9">
            <w:r>
              <w:t>Suitable for 2 adults</w:t>
            </w:r>
          </w:p>
        </w:tc>
      </w:tr>
      <w:tr w:rsidR="0097594C" w14:paraId="043359FF" w14:textId="77777777" w:rsidTr="000D1DA9">
        <w:tc>
          <w:tcPr>
            <w:tcW w:w="715" w:type="dxa"/>
          </w:tcPr>
          <w:p w14:paraId="46CE2D43" w14:textId="77777777" w:rsidR="0097594C" w:rsidRDefault="0097594C" w:rsidP="000D1DA9"/>
        </w:tc>
        <w:tc>
          <w:tcPr>
            <w:tcW w:w="2880" w:type="dxa"/>
          </w:tcPr>
          <w:p w14:paraId="6EAB4831" w14:textId="77777777" w:rsidR="0097594C" w:rsidRDefault="0097594C" w:rsidP="000D1DA9">
            <w:r>
              <w:t>Seat upholstery</w:t>
            </w:r>
          </w:p>
        </w:tc>
        <w:tc>
          <w:tcPr>
            <w:tcW w:w="5421" w:type="dxa"/>
          </w:tcPr>
          <w:p w14:paraId="3BFD6C5F" w14:textId="77777777" w:rsidR="0097594C" w:rsidRDefault="0097594C" w:rsidP="000D1DA9">
            <w:r>
              <w:t>Durable, UV resistant, long life, water resistant</w:t>
            </w:r>
          </w:p>
        </w:tc>
      </w:tr>
    </w:tbl>
    <w:p w14:paraId="269EF526" w14:textId="3B2F7AD0" w:rsidR="00A356EF" w:rsidRDefault="00A356EF"/>
    <w:p w14:paraId="2AF0BE6D" w14:textId="77777777" w:rsidR="006E2677" w:rsidRDefault="006E2677"/>
    <w:p w14:paraId="52C8A2A9" w14:textId="77777777" w:rsidR="0097594C" w:rsidRDefault="0097594C" w:rsidP="00DF3A81">
      <w:pPr>
        <w:jc w:val="center"/>
      </w:pPr>
    </w:p>
    <w:p w14:paraId="761504D5" w14:textId="77777777" w:rsidR="0097594C" w:rsidRPr="00A356EF" w:rsidRDefault="0097594C" w:rsidP="00DF3A81">
      <w:pPr>
        <w:jc w:val="both"/>
        <w:rPr>
          <w:b/>
        </w:rPr>
      </w:pPr>
      <w:r w:rsidRPr="00A356EF">
        <w:rPr>
          <w:b/>
        </w:rPr>
        <w:t>BATTERIES AND CHARGING SYSTEM</w:t>
      </w:r>
    </w:p>
    <w:p w14:paraId="1F675E9C" w14:textId="36A55F8C" w:rsidR="0097594C" w:rsidRPr="00A356EF" w:rsidRDefault="0097594C" w:rsidP="00DF3A81">
      <w:pPr>
        <w:jc w:val="both"/>
      </w:pPr>
      <w:r w:rsidRPr="00A356EF">
        <w:t>Batteries shall be lithium-ion</w:t>
      </w:r>
      <w:r w:rsidR="00E90761">
        <w:t>, replaceable</w:t>
      </w:r>
      <w:r w:rsidRPr="00A356EF">
        <w:t>.</w:t>
      </w:r>
    </w:p>
    <w:p w14:paraId="69E240A3" w14:textId="77777777" w:rsidR="004C667A" w:rsidRDefault="0097594C" w:rsidP="004C667A">
      <w:pPr>
        <w:jc w:val="both"/>
      </w:pPr>
      <w:r w:rsidRPr="00A356EF">
        <w:t xml:space="preserve">For the Pilot Scheme, it is </w:t>
      </w:r>
      <w:r w:rsidR="00147478" w:rsidRPr="00A356EF">
        <w:t>proposed</w:t>
      </w:r>
      <w:r w:rsidRPr="00A356EF">
        <w:t xml:space="preserve"> that one or more independent mains-powered charging </w:t>
      </w:r>
      <w:r w:rsidR="00147478" w:rsidRPr="00A356EF">
        <w:t>locations will be established by TEC. At e</w:t>
      </w:r>
      <w:r w:rsidRPr="00A356EF">
        <w:t xml:space="preserve">ach charging </w:t>
      </w:r>
      <w:r w:rsidR="00147478" w:rsidRPr="00A356EF">
        <w:t>location 230/240V mains power will be</w:t>
      </w:r>
      <w:r w:rsidRPr="00A356EF">
        <w:t xml:space="preserve"> </w:t>
      </w:r>
      <w:r w:rsidR="00147478" w:rsidRPr="00A356EF">
        <w:t>available</w:t>
      </w:r>
      <w:r w:rsidR="00B94892">
        <w:t>, either</w:t>
      </w:r>
      <w:r w:rsidR="00147478" w:rsidRPr="00A356EF">
        <w:t xml:space="preserve"> </w:t>
      </w:r>
      <w:r w:rsidRPr="00A356EF">
        <w:t xml:space="preserve">automatically turned on and off </w:t>
      </w:r>
      <w:r w:rsidR="00147478" w:rsidRPr="00A356EF">
        <w:t xml:space="preserve">by timer </w:t>
      </w:r>
      <w:r w:rsidRPr="00A356EF">
        <w:t>based on the advanced setting by TEC</w:t>
      </w:r>
      <w:r w:rsidR="00B94892">
        <w:t xml:space="preserve"> or manually,</w:t>
      </w:r>
      <w:r w:rsidRPr="00A356EF">
        <w:t xml:space="preserve"> mainly to utilize the output from solar PVs for charging. </w:t>
      </w:r>
      <w:r w:rsidR="00147478" w:rsidRPr="00A356EF">
        <w:t>The</w:t>
      </w:r>
      <w:r w:rsidRPr="00A356EF">
        <w:t xml:space="preserve"> setting parameters </w:t>
      </w:r>
      <w:r w:rsidR="00B94892">
        <w:t>will</w:t>
      </w:r>
      <w:r w:rsidRPr="00A356EF">
        <w:t xml:space="preserve"> include at least (</w:t>
      </w:r>
      <w:proofErr w:type="spellStart"/>
      <w:r w:rsidRPr="00A356EF">
        <w:t>i</w:t>
      </w:r>
      <w:proofErr w:type="spellEnd"/>
      <w:r w:rsidRPr="00A356EF">
        <w:t xml:space="preserve">) sunrise time, (ii) sunset time, (iii) threshold of diesel generators’ output to turn on/off, and (iv) period (minutes) to average diesel output. </w:t>
      </w:r>
    </w:p>
    <w:p w14:paraId="6F3B30E6" w14:textId="77777777" w:rsidR="004C667A" w:rsidRDefault="004C667A" w:rsidP="004C667A">
      <w:pPr>
        <w:jc w:val="both"/>
        <w:rPr>
          <w:b/>
        </w:rPr>
      </w:pPr>
    </w:p>
    <w:p w14:paraId="6F2CF906" w14:textId="27D69C69" w:rsidR="0097594C" w:rsidRPr="004C667A" w:rsidRDefault="0097594C" w:rsidP="004C667A">
      <w:pPr>
        <w:jc w:val="both"/>
      </w:pPr>
      <w:r w:rsidRPr="00C01FA9">
        <w:rPr>
          <w:b/>
        </w:rPr>
        <w:t>BATTERIES</w:t>
      </w:r>
    </w:p>
    <w:tbl>
      <w:tblPr>
        <w:tblStyle w:val="TableGrid"/>
        <w:tblW w:w="0" w:type="auto"/>
        <w:tblLook w:val="04A0" w:firstRow="1" w:lastRow="0" w:firstColumn="1" w:lastColumn="0" w:noHBand="0" w:noVBand="1"/>
      </w:tblPr>
      <w:tblGrid>
        <w:gridCol w:w="715"/>
        <w:gridCol w:w="2880"/>
        <w:gridCol w:w="5421"/>
      </w:tblGrid>
      <w:tr w:rsidR="0097594C" w:rsidRPr="00C01FA9" w14:paraId="5E029B7E" w14:textId="77777777" w:rsidTr="000D1DA9">
        <w:tc>
          <w:tcPr>
            <w:tcW w:w="715" w:type="dxa"/>
          </w:tcPr>
          <w:p w14:paraId="2B5A42A8" w14:textId="77777777" w:rsidR="0097594C" w:rsidRPr="00C01FA9" w:rsidRDefault="0097594C" w:rsidP="000D1DA9">
            <w:pPr>
              <w:jc w:val="center"/>
              <w:rPr>
                <w:b/>
              </w:rPr>
            </w:pPr>
          </w:p>
        </w:tc>
        <w:tc>
          <w:tcPr>
            <w:tcW w:w="2880" w:type="dxa"/>
          </w:tcPr>
          <w:p w14:paraId="40BBFB07" w14:textId="77777777" w:rsidR="0097594C" w:rsidRPr="00C01FA9" w:rsidRDefault="0097594C" w:rsidP="000D1DA9">
            <w:pPr>
              <w:jc w:val="center"/>
              <w:rPr>
                <w:b/>
              </w:rPr>
            </w:pPr>
            <w:r w:rsidRPr="00C01FA9">
              <w:rPr>
                <w:b/>
              </w:rPr>
              <w:t>ITEM</w:t>
            </w:r>
          </w:p>
        </w:tc>
        <w:tc>
          <w:tcPr>
            <w:tcW w:w="5421" w:type="dxa"/>
          </w:tcPr>
          <w:p w14:paraId="069A06C6" w14:textId="77777777" w:rsidR="0097594C" w:rsidRPr="00C01FA9" w:rsidRDefault="0097594C" w:rsidP="000D1DA9">
            <w:pPr>
              <w:jc w:val="center"/>
              <w:rPr>
                <w:b/>
              </w:rPr>
            </w:pPr>
            <w:r w:rsidRPr="00C01FA9">
              <w:rPr>
                <w:b/>
              </w:rPr>
              <w:t>REQUIREMENTS</w:t>
            </w:r>
          </w:p>
        </w:tc>
      </w:tr>
      <w:tr w:rsidR="0097594C" w:rsidRPr="00C01FA9" w14:paraId="666CC1F9" w14:textId="77777777" w:rsidTr="000D1DA9">
        <w:tc>
          <w:tcPr>
            <w:tcW w:w="715" w:type="dxa"/>
          </w:tcPr>
          <w:p w14:paraId="25140824" w14:textId="77777777" w:rsidR="0097594C" w:rsidRPr="00C01FA9" w:rsidRDefault="0097594C" w:rsidP="000D1DA9"/>
        </w:tc>
        <w:tc>
          <w:tcPr>
            <w:tcW w:w="2880" w:type="dxa"/>
          </w:tcPr>
          <w:p w14:paraId="0C891EFA" w14:textId="77777777" w:rsidR="0097594C" w:rsidRPr="00C01FA9" w:rsidRDefault="0097594C" w:rsidP="000D1DA9">
            <w:r w:rsidRPr="00C01FA9">
              <w:t>Battery type</w:t>
            </w:r>
          </w:p>
        </w:tc>
        <w:tc>
          <w:tcPr>
            <w:tcW w:w="5421" w:type="dxa"/>
          </w:tcPr>
          <w:p w14:paraId="037624C1" w14:textId="61B0FD6A" w:rsidR="0097594C" w:rsidRPr="00C01FA9" w:rsidRDefault="0097594C" w:rsidP="000D1DA9">
            <w:r w:rsidRPr="00C01FA9">
              <w:t>Lithium-ion rechargeable</w:t>
            </w:r>
            <w:r w:rsidR="00E44069">
              <w:t>, either plug-in</w:t>
            </w:r>
            <w:r w:rsidR="00E545BE">
              <w:t xml:space="preserve"> detachable</w:t>
            </w:r>
            <w:r w:rsidR="00E44069">
              <w:t xml:space="preserve"> or fixed within vehicle</w:t>
            </w:r>
          </w:p>
        </w:tc>
      </w:tr>
      <w:tr w:rsidR="0097594C" w:rsidRPr="00C01FA9" w14:paraId="5A5914B1" w14:textId="77777777" w:rsidTr="000D1DA9">
        <w:tc>
          <w:tcPr>
            <w:tcW w:w="715" w:type="dxa"/>
          </w:tcPr>
          <w:p w14:paraId="755A60B2" w14:textId="77777777" w:rsidR="0097594C" w:rsidRPr="00C01FA9" w:rsidRDefault="0097594C" w:rsidP="000D1DA9"/>
        </w:tc>
        <w:tc>
          <w:tcPr>
            <w:tcW w:w="2880" w:type="dxa"/>
          </w:tcPr>
          <w:p w14:paraId="273C7471" w14:textId="77777777" w:rsidR="0097594C" w:rsidRPr="00C01FA9" w:rsidRDefault="0097594C" w:rsidP="000D1DA9">
            <w:r w:rsidRPr="00C01FA9">
              <w:t>Battery cycle life</w:t>
            </w:r>
          </w:p>
        </w:tc>
        <w:tc>
          <w:tcPr>
            <w:tcW w:w="5421" w:type="dxa"/>
          </w:tcPr>
          <w:p w14:paraId="554BDC8E" w14:textId="33E39811" w:rsidR="0097594C" w:rsidRPr="00C01FA9" w:rsidRDefault="0097594C" w:rsidP="000D1DA9">
            <w:r w:rsidRPr="00C01FA9">
              <w:t xml:space="preserve">Minimum </w:t>
            </w:r>
            <w:r w:rsidR="007A7F48">
              <w:t>6</w:t>
            </w:r>
            <w:r w:rsidRPr="00C01FA9">
              <w:t xml:space="preserve">00 </w:t>
            </w:r>
            <w:r w:rsidR="007A7F48">
              <w:t xml:space="preserve">full </w:t>
            </w:r>
            <w:r w:rsidRPr="00C01FA9">
              <w:t>charging cycles</w:t>
            </w:r>
          </w:p>
        </w:tc>
      </w:tr>
      <w:tr w:rsidR="0097594C" w:rsidRPr="00C01FA9" w14:paraId="0B2368A5" w14:textId="77777777" w:rsidTr="000D1DA9">
        <w:tc>
          <w:tcPr>
            <w:tcW w:w="715" w:type="dxa"/>
          </w:tcPr>
          <w:p w14:paraId="74B057EB" w14:textId="77777777" w:rsidR="0097594C" w:rsidRPr="00C01FA9" w:rsidRDefault="0097594C" w:rsidP="000D1DA9"/>
        </w:tc>
        <w:tc>
          <w:tcPr>
            <w:tcW w:w="2880" w:type="dxa"/>
          </w:tcPr>
          <w:p w14:paraId="2C29BD4C" w14:textId="5B6229B3" w:rsidR="0097594C" w:rsidRPr="00C01FA9" w:rsidRDefault="0097594C" w:rsidP="000D1DA9">
            <w:r w:rsidRPr="00C01FA9">
              <w:t xml:space="preserve">Battery </w:t>
            </w:r>
            <w:r w:rsidR="00E44069">
              <w:t>charging connections</w:t>
            </w:r>
          </w:p>
        </w:tc>
        <w:tc>
          <w:tcPr>
            <w:tcW w:w="5421" w:type="dxa"/>
          </w:tcPr>
          <w:p w14:paraId="584FDECE" w14:textId="43676967" w:rsidR="0097594C" w:rsidRPr="00C01FA9" w:rsidRDefault="0097594C" w:rsidP="000D1DA9">
            <w:r w:rsidRPr="00C01FA9">
              <w:t>Corrosion-resistant plated terminals</w:t>
            </w:r>
            <w:r w:rsidR="00FF7A3F">
              <w:t xml:space="preserve"> and covered during normal vehicle use</w:t>
            </w:r>
          </w:p>
        </w:tc>
      </w:tr>
    </w:tbl>
    <w:p w14:paraId="7E8E3018" w14:textId="77777777" w:rsidR="0097594C" w:rsidRPr="00A356EF" w:rsidRDefault="0097594C">
      <w:pPr>
        <w:rPr>
          <w:highlight w:val="yellow"/>
        </w:rPr>
      </w:pPr>
    </w:p>
    <w:p w14:paraId="2FD8136A" w14:textId="77777777" w:rsidR="0097594C" w:rsidRPr="00A356EF" w:rsidRDefault="0097594C">
      <w:pPr>
        <w:rPr>
          <w:highlight w:val="yellow"/>
        </w:rPr>
      </w:pPr>
      <w:r w:rsidRPr="00A356EF">
        <w:rPr>
          <w:highlight w:val="yellow"/>
        </w:rPr>
        <w:br w:type="page"/>
      </w:r>
    </w:p>
    <w:p w14:paraId="0F6D8561" w14:textId="77777777" w:rsidR="0097594C" w:rsidRPr="00A356EF" w:rsidRDefault="0097594C">
      <w:pPr>
        <w:rPr>
          <w:highlight w:val="yellow"/>
        </w:rPr>
      </w:pPr>
    </w:p>
    <w:p w14:paraId="77A292BB" w14:textId="5DCF6AF8" w:rsidR="0097594C" w:rsidRPr="00561128" w:rsidRDefault="0097594C" w:rsidP="006132AF">
      <w:pPr>
        <w:rPr>
          <w:b/>
        </w:rPr>
      </w:pPr>
      <w:r w:rsidRPr="00561128">
        <w:rPr>
          <w:b/>
        </w:rPr>
        <w:t>BATTERY CHARG</w:t>
      </w:r>
      <w:r w:rsidR="00561128">
        <w:rPr>
          <w:b/>
        </w:rPr>
        <w:t>ERS</w:t>
      </w:r>
    </w:p>
    <w:tbl>
      <w:tblPr>
        <w:tblStyle w:val="TableGrid"/>
        <w:tblW w:w="0" w:type="auto"/>
        <w:tblLook w:val="04A0" w:firstRow="1" w:lastRow="0" w:firstColumn="1" w:lastColumn="0" w:noHBand="0" w:noVBand="1"/>
      </w:tblPr>
      <w:tblGrid>
        <w:gridCol w:w="715"/>
        <w:gridCol w:w="2880"/>
        <w:gridCol w:w="5421"/>
      </w:tblGrid>
      <w:tr w:rsidR="0097594C" w:rsidRPr="00561128" w14:paraId="17CD69B7" w14:textId="77777777" w:rsidTr="000D1DA9">
        <w:tc>
          <w:tcPr>
            <w:tcW w:w="715" w:type="dxa"/>
          </w:tcPr>
          <w:p w14:paraId="32E40E7D" w14:textId="77777777" w:rsidR="0097594C" w:rsidRPr="00561128" w:rsidRDefault="0097594C" w:rsidP="000D1DA9">
            <w:pPr>
              <w:jc w:val="center"/>
              <w:rPr>
                <w:b/>
              </w:rPr>
            </w:pPr>
          </w:p>
        </w:tc>
        <w:tc>
          <w:tcPr>
            <w:tcW w:w="2880" w:type="dxa"/>
          </w:tcPr>
          <w:p w14:paraId="720CA34E" w14:textId="77777777" w:rsidR="0097594C" w:rsidRPr="00561128" w:rsidRDefault="0097594C" w:rsidP="000D1DA9">
            <w:pPr>
              <w:jc w:val="center"/>
              <w:rPr>
                <w:b/>
              </w:rPr>
            </w:pPr>
            <w:r w:rsidRPr="00561128">
              <w:rPr>
                <w:b/>
              </w:rPr>
              <w:t>ITEM</w:t>
            </w:r>
          </w:p>
        </w:tc>
        <w:tc>
          <w:tcPr>
            <w:tcW w:w="5421" w:type="dxa"/>
          </w:tcPr>
          <w:p w14:paraId="69E1D5A1" w14:textId="77777777" w:rsidR="0097594C" w:rsidRPr="00561128" w:rsidRDefault="0097594C" w:rsidP="000D1DA9">
            <w:pPr>
              <w:jc w:val="center"/>
              <w:rPr>
                <w:b/>
              </w:rPr>
            </w:pPr>
            <w:r w:rsidRPr="00561128">
              <w:rPr>
                <w:b/>
              </w:rPr>
              <w:t>REQUIREMENTS</w:t>
            </w:r>
          </w:p>
        </w:tc>
      </w:tr>
      <w:tr w:rsidR="0097594C" w:rsidRPr="00561128" w14:paraId="1BDC3120" w14:textId="77777777" w:rsidTr="000D1DA9">
        <w:tc>
          <w:tcPr>
            <w:tcW w:w="715" w:type="dxa"/>
          </w:tcPr>
          <w:p w14:paraId="3E5D5E5B" w14:textId="77777777" w:rsidR="0097594C" w:rsidRPr="00561128" w:rsidRDefault="0097594C" w:rsidP="000D1DA9"/>
        </w:tc>
        <w:tc>
          <w:tcPr>
            <w:tcW w:w="2880" w:type="dxa"/>
          </w:tcPr>
          <w:p w14:paraId="1EF9B0D6" w14:textId="77777777" w:rsidR="0097594C" w:rsidRPr="00561128" w:rsidRDefault="0097594C" w:rsidP="000D1DA9">
            <w:r w:rsidRPr="00561128">
              <w:t>Configuration</w:t>
            </w:r>
          </w:p>
        </w:tc>
        <w:tc>
          <w:tcPr>
            <w:tcW w:w="5421" w:type="dxa"/>
          </w:tcPr>
          <w:p w14:paraId="6C01CB2B" w14:textId="5F13018B" w:rsidR="0097594C" w:rsidRPr="00561128" w:rsidRDefault="00E17D78" w:rsidP="000D1DA9">
            <w:r>
              <w:t>S</w:t>
            </w:r>
            <w:r w:rsidR="0097594C" w:rsidRPr="00561128">
              <w:t>elf-contained</w:t>
            </w:r>
          </w:p>
        </w:tc>
      </w:tr>
      <w:tr w:rsidR="0097594C" w:rsidRPr="00561128" w14:paraId="606CBDA3" w14:textId="77777777" w:rsidTr="000D1DA9">
        <w:tc>
          <w:tcPr>
            <w:tcW w:w="715" w:type="dxa"/>
          </w:tcPr>
          <w:p w14:paraId="69555FE1" w14:textId="77777777" w:rsidR="0097594C" w:rsidRPr="00561128" w:rsidRDefault="0097594C" w:rsidP="000D1DA9"/>
        </w:tc>
        <w:tc>
          <w:tcPr>
            <w:tcW w:w="2880" w:type="dxa"/>
          </w:tcPr>
          <w:p w14:paraId="0B4C30FB" w14:textId="77777777" w:rsidR="0097594C" w:rsidRPr="00561128" w:rsidRDefault="0097594C" w:rsidP="000D1DA9">
            <w:r w:rsidRPr="00561128">
              <w:t>External finish</w:t>
            </w:r>
          </w:p>
        </w:tc>
        <w:tc>
          <w:tcPr>
            <w:tcW w:w="5421" w:type="dxa"/>
          </w:tcPr>
          <w:p w14:paraId="04FFB26D" w14:textId="42E7F17A" w:rsidR="0097594C" w:rsidRPr="00561128" w:rsidRDefault="0097594C" w:rsidP="000D1DA9">
            <w:r w:rsidRPr="00561128">
              <w:t>High corrosion resistance</w:t>
            </w:r>
            <w:r w:rsidR="00AC1214">
              <w:t>, double insulated</w:t>
            </w:r>
          </w:p>
        </w:tc>
      </w:tr>
      <w:tr w:rsidR="00FA0415" w:rsidRPr="00561128" w14:paraId="163FFD6A" w14:textId="77777777" w:rsidTr="000D1DA9">
        <w:tc>
          <w:tcPr>
            <w:tcW w:w="715" w:type="dxa"/>
          </w:tcPr>
          <w:p w14:paraId="3C20C811" w14:textId="77777777" w:rsidR="00FA0415" w:rsidRPr="00561128" w:rsidRDefault="00FA0415" w:rsidP="000D1DA9"/>
        </w:tc>
        <w:tc>
          <w:tcPr>
            <w:tcW w:w="2880" w:type="dxa"/>
          </w:tcPr>
          <w:p w14:paraId="50A7FDFB" w14:textId="79BA8423" w:rsidR="00FA0415" w:rsidRPr="00561128" w:rsidRDefault="00FA0415" w:rsidP="000D1DA9">
            <w:r>
              <w:t xml:space="preserve">Connection </w:t>
            </w:r>
          </w:p>
        </w:tc>
        <w:tc>
          <w:tcPr>
            <w:tcW w:w="5421" w:type="dxa"/>
          </w:tcPr>
          <w:p w14:paraId="57C75CCD" w14:textId="151A72EA" w:rsidR="00FA0415" w:rsidRPr="00561128" w:rsidRDefault="00FA0415" w:rsidP="000D1DA9">
            <w:r>
              <w:t>Cable at least 2 metre length fitted with AS/NZS 3 pin plug</w:t>
            </w:r>
          </w:p>
        </w:tc>
      </w:tr>
      <w:tr w:rsidR="0097594C" w:rsidRPr="00561128" w14:paraId="6F95C53D" w14:textId="77777777" w:rsidTr="000D1DA9">
        <w:tc>
          <w:tcPr>
            <w:tcW w:w="715" w:type="dxa"/>
          </w:tcPr>
          <w:p w14:paraId="46B3FF57" w14:textId="77777777" w:rsidR="0097594C" w:rsidRPr="00561128" w:rsidRDefault="0097594C" w:rsidP="000D1DA9"/>
        </w:tc>
        <w:tc>
          <w:tcPr>
            <w:tcW w:w="2880" w:type="dxa"/>
          </w:tcPr>
          <w:p w14:paraId="02578061" w14:textId="77777777" w:rsidR="0097594C" w:rsidRPr="00561128" w:rsidRDefault="0097594C" w:rsidP="000D1DA9">
            <w:r w:rsidRPr="00561128">
              <w:t>Electrical connection</w:t>
            </w:r>
          </w:p>
        </w:tc>
        <w:tc>
          <w:tcPr>
            <w:tcW w:w="5421" w:type="dxa"/>
          </w:tcPr>
          <w:p w14:paraId="71E4BF8F" w14:textId="77777777" w:rsidR="0097594C" w:rsidRPr="00561128" w:rsidRDefault="0097594C" w:rsidP="000D1DA9">
            <w:r w:rsidRPr="00561128">
              <w:t>230-240V AC, single phase, 50Hz</w:t>
            </w:r>
          </w:p>
        </w:tc>
      </w:tr>
      <w:tr w:rsidR="0097594C" w:rsidRPr="00561128" w14:paraId="295BE536" w14:textId="77777777" w:rsidTr="000D1DA9">
        <w:tc>
          <w:tcPr>
            <w:tcW w:w="715" w:type="dxa"/>
          </w:tcPr>
          <w:p w14:paraId="5FBCA27B" w14:textId="77777777" w:rsidR="0097594C" w:rsidRPr="00561128" w:rsidRDefault="0097594C" w:rsidP="000D1DA9"/>
        </w:tc>
        <w:tc>
          <w:tcPr>
            <w:tcW w:w="2880" w:type="dxa"/>
          </w:tcPr>
          <w:p w14:paraId="62B2231F" w14:textId="77777777" w:rsidR="0097594C" w:rsidRPr="00561128" w:rsidRDefault="0097594C" w:rsidP="000D1DA9">
            <w:r w:rsidRPr="00561128">
              <w:t>Electrical safety</w:t>
            </w:r>
          </w:p>
        </w:tc>
        <w:tc>
          <w:tcPr>
            <w:tcW w:w="5421" w:type="dxa"/>
          </w:tcPr>
          <w:p w14:paraId="66FA3F51" w14:textId="77777777" w:rsidR="0097594C" w:rsidRPr="00561128" w:rsidRDefault="0097594C" w:rsidP="000D1DA9">
            <w:r w:rsidRPr="00561128">
              <w:t>To comply with Internationally recognized Electricity Regulations. (</w:t>
            </w:r>
            <w:r w:rsidRPr="00561128">
              <w:rPr>
                <w:b/>
              </w:rPr>
              <w:t>Note 1</w:t>
            </w:r>
            <w:r w:rsidRPr="00561128">
              <w:t>)</w:t>
            </w:r>
          </w:p>
        </w:tc>
      </w:tr>
    </w:tbl>
    <w:p w14:paraId="6C21D526" w14:textId="77777777" w:rsidR="0097594C" w:rsidRPr="00561128" w:rsidRDefault="0097594C" w:rsidP="006132AF">
      <w:pPr>
        <w:rPr>
          <w:b/>
        </w:rPr>
      </w:pPr>
    </w:p>
    <w:p w14:paraId="68FB0B23" w14:textId="4BCD9230" w:rsidR="0097594C" w:rsidRPr="00E17D78" w:rsidRDefault="0097594C" w:rsidP="00C93B76">
      <w:pPr>
        <w:jc w:val="both"/>
      </w:pPr>
      <w:r w:rsidRPr="00E17D78">
        <w:rPr>
          <w:b/>
        </w:rPr>
        <w:t xml:space="preserve">Note 1: </w:t>
      </w:r>
      <w:r w:rsidR="00FF594A" w:rsidRPr="00E17D78">
        <w:rPr>
          <w:bCs/>
        </w:rPr>
        <w:t xml:space="preserve">A </w:t>
      </w:r>
      <w:r w:rsidR="00FF594A" w:rsidRPr="00E17D78">
        <w:rPr>
          <w:b/>
        </w:rPr>
        <w:t>r</w:t>
      </w:r>
      <w:r w:rsidRPr="00E17D78">
        <w:t xml:space="preserve">esidual </w:t>
      </w:r>
      <w:r w:rsidR="00FF594A" w:rsidRPr="00E17D78">
        <w:t>c</w:t>
      </w:r>
      <w:r w:rsidRPr="00E17D78">
        <w:t>urrent/</w:t>
      </w:r>
      <w:r w:rsidR="00FF594A" w:rsidRPr="00E17D78">
        <w:t>e</w:t>
      </w:r>
      <w:r w:rsidRPr="00E17D78">
        <w:t xml:space="preserve">arth </w:t>
      </w:r>
      <w:r w:rsidR="00B30147">
        <w:t>l</w:t>
      </w:r>
      <w:r w:rsidRPr="00E17D78">
        <w:t xml:space="preserve">eakage device </w:t>
      </w:r>
      <w:r w:rsidR="00FF594A" w:rsidRPr="00E17D78">
        <w:t xml:space="preserve">will </w:t>
      </w:r>
      <w:r w:rsidRPr="00E17D78">
        <w:t>be provided</w:t>
      </w:r>
      <w:r w:rsidR="00FF594A" w:rsidRPr="00E17D78">
        <w:t xml:space="preserve"> by TEC at each charging location</w:t>
      </w:r>
      <w:r w:rsidRPr="00E17D78">
        <w:t>, if required to meet regulations.</w:t>
      </w:r>
    </w:p>
    <w:p w14:paraId="5150C56F" w14:textId="77777777" w:rsidR="004A13B5" w:rsidRPr="00E17D78" w:rsidRDefault="004A13B5" w:rsidP="00C93B76">
      <w:pPr>
        <w:jc w:val="both"/>
      </w:pPr>
    </w:p>
    <w:p w14:paraId="01E73322" w14:textId="77777777" w:rsidR="0097594C" w:rsidRPr="00E17D78" w:rsidRDefault="0097594C" w:rsidP="00AA348F">
      <w:pPr>
        <w:rPr>
          <w:b/>
        </w:rPr>
      </w:pPr>
      <w:r w:rsidRPr="00E17D78">
        <w:rPr>
          <w:b/>
        </w:rPr>
        <w:t>CONTROLS AND INSTRUMENTS</w:t>
      </w:r>
    </w:p>
    <w:tbl>
      <w:tblPr>
        <w:tblStyle w:val="TableGrid"/>
        <w:tblW w:w="0" w:type="auto"/>
        <w:tblLook w:val="04A0" w:firstRow="1" w:lastRow="0" w:firstColumn="1" w:lastColumn="0" w:noHBand="0" w:noVBand="1"/>
      </w:tblPr>
      <w:tblGrid>
        <w:gridCol w:w="715"/>
        <w:gridCol w:w="3060"/>
        <w:gridCol w:w="5241"/>
      </w:tblGrid>
      <w:tr w:rsidR="0097594C" w:rsidRPr="00E17D78" w14:paraId="3BE0BBB7" w14:textId="77777777" w:rsidTr="000D1DA9">
        <w:tc>
          <w:tcPr>
            <w:tcW w:w="715" w:type="dxa"/>
          </w:tcPr>
          <w:p w14:paraId="1DA144AB" w14:textId="77777777" w:rsidR="0097594C" w:rsidRPr="00E17D78" w:rsidRDefault="0097594C" w:rsidP="000D1DA9">
            <w:pPr>
              <w:rPr>
                <w:b/>
              </w:rPr>
            </w:pPr>
          </w:p>
        </w:tc>
        <w:tc>
          <w:tcPr>
            <w:tcW w:w="3060" w:type="dxa"/>
          </w:tcPr>
          <w:p w14:paraId="4ED41922" w14:textId="77777777" w:rsidR="0097594C" w:rsidRPr="00E17D78" w:rsidRDefault="0097594C" w:rsidP="000D1DA9">
            <w:pPr>
              <w:rPr>
                <w:b/>
              </w:rPr>
            </w:pPr>
            <w:r w:rsidRPr="00E17D78">
              <w:rPr>
                <w:b/>
              </w:rPr>
              <w:t>ITEM</w:t>
            </w:r>
          </w:p>
        </w:tc>
        <w:tc>
          <w:tcPr>
            <w:tcW w:w="5241" w:type="dxa"/>
          </w:tcPr>
          <w:p w14:paraId="39D502FF" w14:textId="77777777" w:rsidR="0097594C" w:rsidRPr="00E17D78" w:rsidRDefault="0097594C" w:rsidP="000D1DA9">
            <w:pPr>
              <w:rPr>
                <w:b/>
              </w:rPr>
            </w:pPr>
            <w:r w:rsidRPr="00E17D78">
              <w:rPr>
                <w:b/>
              </w:rPr>
              <w:t>REQUIREMENT</w:t>
            </w:r>
          </w:p>
        </w:tc>
      </w:tr>
      <w:tr w:rsidR="00A11474" w:rsidRPr="00E17D78" w14:paraId="563E968E" w14:textId="77777777" w:rsidTr="000D1DA9">
        <w:tc>
          <w:tcPr>
            <w:tcW w:w="715" w:type="dxa"/>
          </w:tcPr>
          <w:p w14:paraId="6518B2AC" w14:textId="77777777" w:rsidR="00A11474" w:rsidRPr="00E17D78" w:rsidRDefault="00A11474" w:rsidP="000D1DA9"/>
        </w:tc>
        <w:tc>
          <w:tcPr>
            <w:tcW w:w="3060" w:type="dxa"/>
          </w:tcPr>
          <w:p w14:paraId="7F8B6FB6" w14:textId="4E9275B4" w:rsidR="00A11474" w:rsidRPr="00E17D78" w:rsidRDefault="00A11474" w:rsidP="000D1DA9">
            <w:r w:rsidRPr="00E17D78">
              <w:t>All displays and instruments</w:t>
            </w:r>
          </w:p>
        </w:tc>
        <w:tc>
          <w:tcPr>
            <w:tcW w:w="5241" w:type="dxa"/>
          </w:tcPr>
          <w:p w14:paraId="2349834B" w14:textId="79DB8783" w:rsidR="00A11474" w:rsidRPr="00E17D78" w:rsidRDefault="00A11474" w:rsidP="000D1DA9">
            <w:r w:rsidRPr="00E17D78">
              <w:t>Shall be able to withstand direct sunlight and high temperatures</w:t>
            </w:r>
          </w:p>
        </w:tc>
      </w:tr>
      <w:tr w:rsidR="0097594C" w:rsidRPr="00E17D78" w14:paraId="56CAF69B" w14:textId="77777777" w:rsidTr="000D1DA9">
        <w:tc>
          <w:tcPr>
            <w:tcW w:w="715" w:type="dxa"/>
          </w:tcPr>
          <w:p w14:paraId="378E3578" w14:textId="77777777" w:rsidR="0097594C" w:rsidRPr="00E17D78" w:rsidRDefault="0097594C" w:rsidP="000D1DA9"/>
        </w:tc>
        <w:tc>
          <w:tcPr>
            <w:tcW w:w="3060" w:type="dxa"/>
          </w:tcPr>
          <w:p w14:paraId="65A61C33" w14:textId="77777777" w:rsidR="0097594C" w:rsidRPr="00E17D78" w:rsidRDefault="0097594C" w:rsidP="000D1DA9">
            <w:r w:rsidRPr="00E17D78">
              <w:t>Power on/off</w:t>
            </w:r>
          </w:p>
        </w:tc>
        <w:tc>
          <w:tcPr>
            <w:tcW w:w="5241" w:type="dxa"/>
          </w:tcPr>
          <w:p w14:paraId="3094C80A" w14:textId="77777777" w:rsidR="0097594C" w:rsidRPr="00E17D78" w:rsidRDefault="0097594C" w:rsidP="000D1DA9">
            <w:r w:rsidRPr="00E17D78">
              <w:t>Key operated switch, 2 spare keys per vehicle</w:t>
            </w:r>
          </w:p>
        </w:tc>
      </w:tr>
      <w:tr w:rsidR="0097594C" w:rsidRPr="00E17D78" w14:paraId="2C2E34FB" w14:textId="77777777" w:rsidTr="000D1DA9">
        <w:tc>
          <w:tcPr>
            <w:tcW w:w="715" w:type="dxa"/>
          </w:tcPr>
          <w:p w14:paraId="43638362" w14:textId="77777777" w:rsidR="0097594C" w:rsidRPr="00E17D78" w:rsidRDefault="0097594C" w:rsidP="000D1DA9"/>
        </w:tc>
        <w:tc>
          <w:tcPr>
            <w:tcW w:w="3060" w:type="dxa"/>
          </w:tcPr>
          <w:p w14:paraId="5BB40FBB" w14:textId="77777777" w:rsidR="0097594C" w:rsidRPr="00E17D78" w:rsidRDefault="0097594C" w:rsidP="000D1DA9">
            <w:r w:rsidRPr="00E17D78">
              <w:t>Battery charge state</w:t>
            </w:r>
          </w:p>
        </w:tc>
        <w:tc>
          <w:tcPr>
            <w:tcW w:w="5241" w:type="dxa"/>
          </w:tcPr>
          <w:p w14:paraId="25CC5D90" w14:textId="348C4EAA" w:rsidR="0097594C" w:rsidRPr="00E17D78" w:rsidRDefault="0097594C" w:rsidP="000D1DA9">
            <w:r w:rsidRPr="00E17D78">
              <w:t>Handlebar mounted indicator</w:t>
            </w:r>
            <w:r w:rsidR="00FE5C08">
              <w:t xml:space="preserve"> preferred</w:t>
            </w:r>
          </w:p>
        </w:tc>
      </w:tr>
      <w:tr w:rsidR="0097594C" w:rsidRPr="00E17D78" w14:paraId="2A67A0D7" w14:textId="77777777" w:rsidTr="000D1DA9">
        <w:tc>
          <w:tcPr>
            <w:tcW w:w="715" w:type="dxa"/>
          </w:tcPr>
          <w:p w14:paraId="03B34898" w14:textId="77777777" w:rsidR="0097594C" w:rsidRPr="00E17D78" w:rsidRDefault="0097594C" w:rsidP="000D1DA9"/>
        </w:tc>
        <w:tc>
          <w:tcPr>
            <w:tcW w:w="3060" w:type="dxa"/>
          </w:tcPr>
          <w:p w14:paraId="0FF4A6AB" w14:textId="77777777" w:rsidR="0097594C" w:rsidRPr="00E17D78" w:rsidRDefault="0097594C" w:rsidP="00EC744F">
            <w:r w:rsidRPr="00E17D78">
              <w:t>Start/stop and speed control</w:t>
            </w:r>
          </w:p>
        </w:tc>
        <w:tc>
          <w:tcPr>
            <w:tcW w:w="5241" w:type="dxa"/>
          </w:tcPr>
          <w:p w14:paraId="37AAB17C" w14:textId="77777777" w:rsidR="0097594C" w:rsidRPr="00E17D78" w:rsidRDefault="0097594C" w:rsidP="000D1DA9">
            <w:r w:rsidRPr="00E17D78">
              <w:t>Handlebar twist-and-go</w:t>
            </w:r>
          </w:p>
        </w:tc>
      </w:tr>
      <w:tr w:rsidR="0097594C" w:rsidRPr="00E17D78" w14:paraId="58AD53D0" w14:textId="77777777" w:rsidTr="000D1DA9">
        <w:tc>
          <w:tcPr>
            <w:tcW w:w="715" w:type="dxa"/>
          </w:tcPr>
          <w:p w14:paraId="649213D2" w14:textId="77777777" w:rsidR="0097594C" w:rsidRPr="00E17D78" w:rsidRDefault="0097594C" w:rsidP="000D1DA9"/>
        </w:tc>
        <w:tc>
          <w:tcPr>
            <w:tcW w:w="3060" w:type="dxa"/>
          </w:tcPr>
          <w:p w14:paraId="530F5693" w14:textId="77777777" w:rsidR="0097594C" w:rsidRPr="00E17D78" w:rsidRDefault="0097594C" w:rsidP="000D1DA9">
            <w:r w:rsidRPr="00E17D78">
              <w:t>Speedometer</w:t>
            </w:r>
          </w:p>
        </w:tc>
        <w:tc>
          <w:tcPr>
            <w:tcW w:w="5241" w:type="dxa"/>
          </w:tcPr>
          <w:p w14:paraId="0E7925D7" w14:textId="77777777" w:rsidR="0097594C" w:rsidRPr="00E17D78" w:rsidRDefault="0097594C" w:rsidP="000D1DA9">
            <w:r w:rsidRPr="00E17D78">
              <w:t>Handlebar centre mounted, UV and heat resistant LCD or mechanical analogue</w:t>
            </w:r>
          </w:p>
        </w:tc>
      </w:tr>
      <w:tr w:rsidR="0097594C" w:rsidRPr="00E17D78" w14:paraId="13BA692C" w14:textId="77777777" w:rsidTr="000D1DA9">
        <w:tc>
          <w:tcPr>
            <w:tcW w:w="715" w:type="dxa"/>
          </w:tcPr>
          <w:p w14:paraId="0C7540EF" w14:textId="77777777" w:rsidR="0097594C" w:rsidRPr="00E17D78" w:rsidRDefault="0097594C" w:rsidP="000D1DA9"/>
        </w:tc>
        <w:tc>
          <w:tcPr>
            <w:tcW w:w="3060" w:type="dxa"/>
          </w:tcPr>
          <w:p w14:paraId="0948D9A8" w14:textId="77777777" w:rsidR="0097594C" w:rsidRPr="00E17D78" w:rsidRDefault="0097594C" w:rsidP="000D1DA9">
            <w:r w:rsidRPr="00E17D78">
              <w:t>Km travelled</w:t>
            </w:r>
          </w:p>
        </w:tc>
        <w:tc>
          <w:tcPr>
            <w:tcW w:w="5241" w:type="dxa"/>
          </w:tcPr>
          <w:p w14:paraId="4AD2CAC9" w14:textId="7174A546" w:rsidR="0097594C" w:rsidRPr="00E17D78" w:rsidRDefault="0097594C" w:rsidP="000D1DA9">
            <w:r w:rsidRPr="00E17D78">
              <w:t>Indication on handlebar</w:t>
            </w:r>
            <w:r w:rsidR="00E835C8">
              <w:t>,</w:t>
            </w:r>
            <w:r w:rsidRPr="00E17D78">
              <w:t xml:space="preserve"> centre mounted</w:t>
            </w:r>
          </w:p>
        </w:tc>
      </w:tr>
      <w:tr w:rsidR="0097594C" w:rsidRPr="00836895" w14:paraId="1187AFCA" w14:textId="77777777" w:rsidTr="000D1DA9">
        <w:tc>
          <w:tcPr>
            <w:tcW w:w="715" w:type="dxa"/>
          </w:tcPr>
          <w:p w14:paraId="716182E4" w14:textId="77777777" w:rsidR="0097594C" w:rsidRPr="00E17D78" w:rsidRDefault="0097594C" w:rsidP="000D1DA9"/>
        </w:tc>
        <w:tc>
          <w:tcPr>
            <w:tcW w:w="3060" w:type="dxa"/>
          </w:tcPr>
          <w:p w14:paraId="44E750BA" w14:textId="77777777" w:rsidR="0097594C" w:rsidRPr="00E17D78" w:rsidRDefault="0097594C" w:rsidP="000D1DA9">
            <w:r w:rsidRPr="00E17D78">
              <w:t>Front and rear brake control</w:t>
            </w:r>
          </w:p>
        </w:tc>
        <w:tc>
          <w:tcPr>
            <w:tcW w:w="5241" w:type="dxa"/>
          </w:tcPr>
          <w:p w14:paraId="7910B89F" w14:textId="77777777" w:rsidR="0097594C" w:rsidRPr="00836895" w:rsidRDefault="0097594C" w:rsidP="000D1DA9">
            <w:r w:rsidRPr="00E17D78">
              <w:t>Brake levers on handlebars</w:t>
            </w:r>
          </w:p>
        </w:tc>
      </w:tr>
    </w:tbl>
    <w:p w14:paraId="1D6F8DF5" w14:textId="77777777" w:rsidR="0097594C" w:rsidRPr="00836895" w:rsidRDefault="0097594C"/>
    <w:p w14:paraId="5BA5C4F9" w14:textId="77777777" w:rsidR="0097594C" w:rsidRPr="00836895" w:rsidRDefault="0097594C" w:rsidP="00C93B76">
      <w:pPr>
        <w:jc w:val="both"/>
        <w:rPr>
          <w:b/>
        </w:rPr>
      </w:pPr>
      <w:r w:rsidRPr="00836895">
        <w:rPr>
          <w:b/>
        </w:rPr>
        <w:t>SPARE PARTS</w:t>
      </w:r>
    </w:p>
    <w:p w14:paraId="01825D8D" w14:textId="1F4AEAEE" w:rsidR="0097594C" w:rsidRPr="00836895" w:rsidRDefault="0097594C" w:rsidP="00C93B76">
      <w:pPr>
        <w:jc w:val="both"/>
      </w:pPr>
      <w:r w:rsidRPr="00836895">
        <w:t>The supplier shall provide spare parts for the first 5 years of operation as recommended by the manufacturer of the vehicles</w:t>
      </w:r>
      <w:r w:rsidR="00E17D78">
        <w:t xml:space="preserve"> or vehicle subassemblies</w:t>
      </w:r>
      <w:r w:rsidRPr="00836895">
        <w:t xml:space="preserve">. These shall </w:t>
      </w:r>
      <w:proofErr w:type="gramStart"/>
      <w:r w:rsidRPr="00836895">
        <w:t>include both</w:t>
      </w:r>
      <w:proofErr w:type="gramEnd"/>
      <w:r w:rsidRPr="00836895">
        <w:t xml:space="preserve"> mechanical, electrical and electronic parts and if required, software. The price for recommended spare parts is not considered in the financial proposal evaluation.</w:t>
      </w:r>
    </w:p>
    <w:p w14:paraId="014B9C94" w14:textId="77777777" w:rsidR="0097594C" w:rsidRPr="00836895" w:rsidRDefault="0097594C" w:rsidP="00C93B76">
      <w:pPr>
        <w:jc w:val="both"/>
        <w:rPr>
          <w:b/>
        </w:rPr>
      </w:pPr>
    </w:p>
    <w:p w14:paraId="4CC28FA4" w14:textId="77777777" w:rsidR="0097594C" w:rsidRPr="00836895" w:rsidRDefault="0097594C" w:rsidP="00C93B76">
      <w:pPr>
        <w:jc w:val="both"/>
        <w:rPr>
          <w:b/>
        </w:rPr>
      </w:pPr>
      <w:r w:rsidRPr="00836895">
        <w:rPr>
          <w:b/>
        </w:rPr>
        <w:t>SETUP AND COMMISSIONING IN TUVALU</w:t>
      </w:r>
    </w:p>
    <w:p w14:paraId="5F0D5C8E" w14:textId="77777777" w:rsidR="0097594C" w:rsidRDefault="0097594C" w:rsidP="00C93B76">
      <w:pPr>
        <w:jc w:val="both"/>
      </w:pPr>
      <w:r w:rsidRPr="00836895">
        <w:t>The</w:t>
      </w:r>
      <w:r>
        <w:t xml:space="preserve"> supplier shall provide at least one technical expert to visit Tuvalu in order to:</w:t>
      </w:r>
    </w:p>
    <w:p w14:paraId="1EA49A3D" w14:textId="0F111250" w:rsidR="0097594C" w:rsidRPr="00836895" w:rsidRDefault="0097594C" w:rsidP="0097594C">
      <w:pPr>
        <w:pStyle w:val="ListParagraph"/>
        <w:numPr>
          <w:ilvl w:val="0"/>
          <w:numId w:val="15"/>
        </w:numPr>
        <w:spacing w:after="160" w:line="259" w:lineRule="auto"/>
        <w:jc w:val="both"/>
        <w:rPr>
          <w:rFonts w:ascii="Times New Roman" w:hAnsi="Times New Roman"/>
        </w:rPr>
      </w:pPr>
      <w:r w:rsidRPr="00836895">
        <w:rPr>
          <w:rFonts w:ascii="Times New Roman" w:hAnsi="Times New Roman"/>
        </w:rPr>
        <w:t xml:space="preserve">Supervise unpacking of the </w:t>
      </w:r>
      <w:r w:rsidR="005A1F48" w:rsidRPr="00836895">
        <w:rPr>
          <w:rFonts w:ascii="Times New Roman" w:hAnsi="Times New Roman"/>
        </w:rPr>
        <w:t>motorcycles</w:t>
      </w:r>
    </w:p>
    <w:p w14:paraId="2BBDEA28" w14:textId="34E88815" w:rsidR="0097594C" w:rsidRPr="00836895" w:rsidRDefault="0099428D" w:rsidP="0097594C">
      <w:pPr>
        <w:pStyle w:val="ListParagraph"/>
        <w:numPr>
          <w:ilvl w:val="0"/>
          <w:numId w:val="15"/>
        </w:numPr>
        <w:spacing w:after="160" w:line="259" w:lineRule="auto"/>
        <w:jc w:val="both"/>
        <w:rPr>
          <w:rFonts w:ascii="Times New Roman" w:hAnsi="Times New Roman"/>
        </w:rPr>
      </w:pPr>
      <w:r>
        <w:rPr>
          <w:rFonts w:ascii="Times New Roman" w:hAnsi="Times New Roman"/>
        </w:rPr>
        <w:t>Inspect and record any shipping damage</w:t>
      </w:r>
    </w:p>
    <w:p w14:paraId="2FCCCBC3" w14:textId="77777777" w:rsidR="0097594C" w:rsidRPr="00836895" w:rsidRDefault="0097594C" w:rsidP="0097594C">
      <w:pPr>
        <w:pStyle w:val="ListParagraph"/>
        <w:numPr>
          <w:ilvl w:val="0"/>
          <w:numId w:val="15"/>
        </w:numPr>
        <w:spacing w:after="160" w:line="259" w:lineRule="auto"/>
        <w:jc w:val="both"/>
        <w:rPr>
          <w:rFonts w:ascii="Times New Roman" w:hAnsi="Times New Roman"/>
        </w:rPr>
      </w:pPr>
      <w:r w:rsidRPr="00836895">
        <w:rPr>
          <w:rFonts w:ascii="Times New Roman" w:hAnsi="Times New Roman"/>
        </w:rPr>
        <w:t>Ensure that each motor scooter is fully commissioned and functioning correctly</w:t>
      </w:r>
    </w:p>
    <w:p w14:paraId="5EB1B967" w14:textId="77777777" w:rsidR="0097594C" w:rsidRPr="00836895" w:rsidRDefault="0097594C" w:rsidP="0097594C">
      <w:pPr>
        <w:pStyle w:val="ListParagraph"/>
        <w:numPr>
          <w:ilvl w:val="0"/>
          <w:numId w:val="15"/>
        </w:numPr>
        <w:spacing w:after="160" w:line="259" w:lineRule="auto"/>
        <w:jc w:val="both"/>
        <w:rPr>
          <w:rFonts w:ascii="Times New Roman" w:hAnsi="Times New Roman"/>
        </w:rPr>
      </w:pPr>
      <w:r w:rsidRPr="00836895">
        <w:rPr>
          <w:rFonts w:ascii="Times New Roman" w:hAnsi="Times New Roman"/>
        </w:rPr>
        <w:t>Provide advice on correct storage of spare parts</w:t>
      </w:r>
    </w:p>
    <w:p w14:paraId="63227BC8" w14:textId="77777777" w:rsidR="0097594C" w:rsidRDefault="0097594C" w:rsidP="00C93B76">
      <w:pPr>
        <w:jc w:val="both"/>
      </w:pPr>
      <w:r>
        <w:t>The technical expert may be the same person who provides training (see below).</w:t>
      </w:r>
    </w:p>
    <w:p w14:paraId="694AC24D" w14:textId="77777777" w:rsidR="0097594C" w:rsidRDefault="0097594C" w:rsidP="00C93B76">
      <w:pPr>
        <w:jc w:val="both"/>
      </w:pPr>
    </w:p>
    <w:p w14:paraId="740CEC32" w14:textId="77777777" w:rsidR="0097594C" w:rsidRPr="00897E52" w:rsidRDefault="0097594C" w:rsidP="00C93B76">
      <w:pPr>
        <w:jc w:val="both"/>
        <w:rPr>
          <w:b/>
        </w:rPr>
      </w:pPr>
      <w:r w:rsidRPr="00897E52">
        <w:rPr>
          <w:b/>
        </w:rPr>
        <w:t>MAINTENANCE</w:t>
      </w:r>
    </w:p>
    <w:p w14:paraId="2ECE2D68" w14:textId="77777777" w:rsidR="0097594C" w:rsidRDefault="0097594C" w:rsidP="00C93B76">
      <w:pPr>
        <w:jc w:val="both"/>
      </w:pPr>
      <w:r>
        <w:t>Maintenance manuals and toolkits shall be provided for each vehicle. If specialist test and maintenance equipment and tools are required, these shall be provided in accordance with the manufacturer’s recommendations.</w:t>
      </w:r>
    </w:p>
    <w:p w14:paraId="36B0B058" w14:textId="77777777" w:rsidR="0097594C" w:rsidRDefault="0097594C" w:rsidP="00C93B76">
      <w:pPr>
        <w:jc w:val="both"/>
      </w:pPr>
    </w:p>
    <w:p w14:paraId="3369F756" w14:textId="77777777" w:rsidR="0097594C" w:rsidRPr="00AE4FEA" w:rsidRDefault="0097594C" w:rsidP="00C93B76">
      <w:pPr>
        <w:jc w:val="both"/>
        <w:rPr>
          <w:b/>
        </w:rPr>
      </w:pPr>
      <w:r>
        <w:rPr>
          <w:b/>
        </w:rPr>
        <w:t>MAINTENANCE SUPPORT</w:t>
      </w:r>
    </w:p>
    <w:p w14:paraId="03427025" w14:textId="46CB3AF2" w:rsidR="0097594C" w:rsidRDefault="0097594C" w:rsidP="00C93B76">
      <w:pPr>
        <w:jc w:val="both"/>
      </w:pPr>
      <w:r>
        <w:t xml:space="preserve">Due to the site conditions in Funafuti, standard operating and maintenance instructions may need to be supplemented by site-specific information. This may include special instructions </w:t>
      </w:r>
      <w:r>
        <w:lastRenderedPageBreak/>
        <w:t>and equipment for cleaning electrical plugs and sockets, anti-corrosion maintenance and any other likely requirements necessitated by the local conditions. As Tuvalu is a remote location, maintenance instructions shall take account of the Tuvalu conditions and may need further supplementation to enable repairs to be performed locally.</w:t>
      </w:r>
      <w:r w:rsidR="009172BA">
        <w:t xml:space="preserve"> Supplementary information may be prepared during the unpacking and commissioning visit.</w:t>
      </w:r>
    </w:p>
    <w:p w14:paraId="7DA11F44" w14:textId="77777777" w:rsidR="009172BA" w:rsidRDefault="009172BA" w:rsidP="00C93B76">
      <w:pPr>
        <w:jc w:val="both"/>
      </w:pPr>
    </w:p>
    <w:p w14:paraId="26D4DD03" w14:textId="17E893AB" w:rsidR="0097594C" w:rsidRDefault="0097594C" w:rsidP="00C93B76">
      <w:pPr>
        <w:jc w:val="both"/>
      </w:pPr>
      <w:r>
        <w:t xml:space="preserve">Operating and maintenance instructions shall be comprehensive, in English and shall include all necessary repair instructions, circuit diagrams, test procedures, diagnostic software and procedures. </w:t>
      </w:r>
    </w:p>
    <w:p w14:paraId="5075C66F" w14:textId="05B2A854" w:rsidR="009172BA" w:rsidRDefault="009172BA" w:rsidP="00C93B76">
      <w:pPr>
        <w:jc w:val="both"/>
      </w:pPr>
    </w:p>
    <w:p w14:paraId="31F04674" w14:textId="6F2C9FF4" w:rsidR="00FE5C08" w:rsidRDefault="00FE5C08" w:rsidP="00C93B76">
      <w:pPr>
        <w:jc w:val="both"/>
      </w:pPr>
      <w:r>
        <w:t>Supplier support is required for a minimum of 5 years.</w:t>
      </w:r>
    </w:p>
    <w:p w14:paraId="4433C024" w14:textId="77777777" w:rsidR="00FE5C08" w:rsidRDefault="00FE5C08" w:rsidP="00C93B76">
      <w:pPr>
        <w:jc w:val="both"/>
      </w:pPr>
    </w:p>
    <w:p w14:paraId="4F2F7DF4" w14:textId="6E387927" w:rsidR="0097594C" w:rsidRDefault="0097594C" w:rsidP="00C93B76">
      <w:pPr>
        <w:jc w:val="both"/>
      </w:pPr>
      <w:r>
        <w:t>Tenderers shall provide details of remote technical support that can be provided.</w:t>
      </w:r>
    </w:p>
    <w:p w14:paraId="078CB47F" w14:textId="77777777" w:rsidR="00836895" w:rsidRDefault="00836895" w:rsidP="00C93B76">
      <w:pPr>
        <w:jc w:val="both"/>
      </w:pPr>
    </w:p>
    <w:p w14:paraId="6BFFDD85" w14:textId="77777777" w:rsidR="0097594C" w:rsidRPr="005532B2" w:rsidRDefault="0097594C" w:rsidP="00C93B76">
      <w:pPr>
        <w:jc w:val="both"/>
        <w:rPr>
          <w:b/>
        </w:rPr>
      </w:pPr>
      <w:r w:rsidRPr="005532B2">
        <w:rPr>
          <w:b/>
        </w:rPr>
        <w:t>TRAINING</w:t>
      </w:r>
    </w:p>
    <w:p w14:paraId="51E21606" w14:textId="12A81243" w:rsidR="0097594C" w:rsidRDefault="0097594C" w:rsidP="00C93B76">
      <w:pPr>
        <w:jc w:val="both"/>
      </w:pPr>
      <w:r>
        <w:t>Upon delivery of the vehicles and chargers, the supplier shall make at least one training person available in Funafuti to train local electrical and motorcycle technicians to maintain the vehicles, batteries, and the charging stations.</w:t>
      </w:r>
      <w:r w:rsidRPr="00AC6965">
        <w:t xml:space="preserve"> </w:t>
      </w:r>
      <w:r>
        <w:t>During or within 2 weeks after the 2</w:t>
      </w:r>
      <w:r w:rsidRPr="00C93B76">
        <w:rPr>
          <w:vertAlign w:val="superscript"/>
        </w:rPr>
        <w:t>nd</w:t>
      </w:r>
      <w:r>
        <w:t xml:space="preserve"> training, the supplier shall submit a report on recommendations for long-term maintenance based on the status of the facilities </w:t>
      </w:r>
      <w:r w:rsidR="00C01FA9">
        <w:t xml:space="preserve">4 </w:t>
      </w:r>
      <w:r>
        <w:t xml:space="preserve">months after the </w:t>
      </w:r>
      <w:r w:rsidR="00C01FA9">
        <w:t>delivery</w:t>
      </w:r>
      <w:r>
        <w:t xml:space="preserve">. </w:t>
      </w:r>
    </w:p>
    <w:tbl>
      <w:tblPr>
        <w:tblStyle w:val="TableGrid"/>
        <w:tblW w:w="0" w:type="auto"/>
        <w:tblLook w:val="04A0" w:firstRow="1" w:lastRow="0" w:firstColumn="1" w:lastColumn="0" w:noHBand="0" w:noVBand="1"/>
      </w:tblPr>
      <w:tblGrid>
        <w:gridCol w:w="1255"/>
        <w:gridCol w:w="3060"/>
        <w:gridCol w:w="1800"/>
        <w:gridCol w:w="2901"/>
      </w:tblGrid>
      <w:tr w:rsidR="0097594C" w14:paraId="636633F4" w14:textId="77777777" w:rsidTr="00C93B76">
        <w:tc>
          <w:tcPr>
            <w:tcW w:w="1255" w:type="dxa"/>
          </w:tcPr>
          <w:p w14:paraId="6973D4CB" w14:textId="77777777" w:rsidR="0097594C" w:rsidRDefault="0097594C" w:rsidP="00C93B76">
            <w:pPr>
              <w:jc w:val="center"/>
            </w:pPr>
          </w:p>
        </w:tc>
        <w:tc>
          <w:tcPr>
            <w:tcW w:w="3060" w:type="dxa"/>
          </w:tcPr>
          <w:p w14:paraId="1BB7702D" w14:textId="77777777" w:rsidR="0097594C" w:rsidRDefault="0097594C" w:rsidP="00C93B76">
            <w:pPr>
              <w:jc w:val="center"/>
            </w:pPr>
            <w:r>
              <w:t>When</w:t>
            </w:r>
          </w:p>
        </w:tc>
        <w:tc>
          <w:tcPr>
            <w:tcW w:w="1800" w:type="dxa"/>
          </w:tcPr>
          <w:p w14:paraId="67572E8F" w14:textId="77777777" w:rsidR="0097594C" w:rsidRDefault="0097594C" w:rsidP="00C93B76">
            <w:pPr>
              <w:jc w:val="center"/>
            </w:pPr>
            <w:r>
              <w:t>Duration</w:t>
            </w:r>
          </w:p>
        </w:tc>
        <w:tc>
          <w:tcPr>
            <w:tcW w:w="2901" w:type="dxa"/>
          </w:tcPr>
          <w:p w14:paraId="16A21757" w14:textId="77777777" w:rsidR="0097594C" w:rsidRDefault="0097594C" w:rsidP="00C93B76">
            <w:pPr>
              <w:jc w:val="center"/>
            </w:pPr>
            <w:r>
              <w:t>Purpose</w:t>
            </w:r>
          </w:p>
        </w:tc>
      </w:tr>
      <w:tr w:rsidR="0097594C" w14:paraId="446EE5A4" w14:textId="77777777" w:rsidTr="00C93B76">
        <w:tc>
          <w:tcPr>
            <w:tcW w:w="1255" w:type="dxa"/>
          </w:tcPr>
          <w:p w14:paraId="62E3FF31" w14:textId="77777777" w:rsidR="0097594C" w:rsidRDefault="0097594C">
            <w:r>
              <w:t>1</w:t>
            </w:r>
            <w:r w:rsidRPr="00C93B76">
              <w:rPr>
                <w:vertAlign w:val="superscript"/>
              </w:rPr>
              <w:t>st</w:t>
            </w:r>
            <w:r>
              <w:t xml:space="preserve"> training</w:t>
            </w:r>
          </w:p>
        </w:tc>
        <w:tc>
          <w:tcPr>
            <w:tcW w:w="3060" w:type="dxa"/>
          </w:tcPr>
          <w:p w14:paraId="5FC1D5B0" w14:textId="54D15C58" w:rsidR="0097594C" w:rsidRDefault="0097594C">
            <w:r>
              <w:t xml:space="preserve">Right after the </w:t>
            </w:r>
            <w:r w:rsidR="00C01FA9">
              <w:t>delivery</w:t>
            </w:r>
          </w:p>
        </w:tc>
        <w:tc>
          <w:tcPr>
            <w:tcW w:w="1800" w:type="dxa"/>
          </w:tcPr>
          <w:p w14:paraId="2A2FA771" w14:textId="77777777" w:rsidR="0097594C" w:rsidRDefault="0097594C">
            <w:r>
              <w:t>At least 3 days</w:t>
            </w:r>
          </w:p>
        </w:tc>
        <w:tc>
          <w:tcPr>
            <w:tcW w:w="2901" w:type="dxa"/>
          </w:tcPr>
          <w:p w14:paraId="0137601D" w14:textId="77777777" w:rsidR="0097594C" w:rsidRDefault="0097594C">
            <w:r>
              <w:t>Operation and short-term maintenance</w:t>
            </w:r>
          </w:p>
        </w:tc>
      </w:tr>
      <w:tr w:rsidR="0097594C" w14:paraId="3759A985" w14:textId="77777777" w:rsidTr="00C93B76">
        <w:tc>
          <w:tcPr>
            <w:tcW w:w="1255" w:type="dxa"/>
          </w:tcPr>
          <w:p w14:paraId="6D6CABC1" w14:textId="77777777" w:rsidR="0097594C" w:rsidRDefault="0097594C">
            <w:r>
              <w:t>2</w:t>
            </w:r>
            <w:r w:rsidRPr="00C93B76">
              <w:rPr>
                <w:vertAlign w:val="superscript"/>
              </w:rPr>
              <w:t>nd</w:t>
            </w:r>
            <w:r>
              <w:t xml:space="preserve"> training</w:t>
            </w:r>
          </w:p>
        </w:tc>
        <w:tc>
          <w:tcPr>
            <w:tcW w:w="3060" w:type="dxa"/>
          </w:tcPr>
          <w:p w14:paraId="7D05F4FC" w14:textId="034FC252" w:rsidR="0097594C" w:rsidRDefault="00FC518D">
            <w:r>
              <w:t>3</w:t>
            </w:r>
            <w:r w:rsidR="00C01FA9">
              <w:t xml:space="preserve"> </w:t>
            </w:r>
            <w:r w:rsidR="0097594C" w:rsidRPr="00AC6965">
              <w:t xml:space="preserve">months after the </w:t>
            </w:r>
            <w:r w:rsidR="00C01FA9">
              <w:t>delivery</w:t>
            </w:r>
          </w:p>
        </w:tc>
        <w:tc>
          <w:tcPr>
            <w:tcW w:w="1800" w:type="dxa"/>
          </w:tcPr>
          <w:p w14:paraId="68945AB6" w14:textId="77777777" w:rsidR="0097594C" w:rsidRDefault="0097594C">
            <w:r>
              <w:t>At least 3 days</w:t>
            </w:r>
          </w:p>
        </w:tc>
        <w:tc>
          <w:tcPr>
            <w:tcW w:w="2901" w:type="dxa"/>
          </w:tcPr>
          <w:p w14:paraId="1E68D900" w14:textId="77777777" w:rsidR="0097594C" w:rsidRDefault="0097594C">
            <w:r>
              <w:t>Long-term maintenance</w:t>
            </w:r>
          </w:p>
        </w:tc>
      </w:tr>
    </w:tbl>
    <w:p w14:paraId="05C928F7" w14:textId="77777777" w:rsidR="0097594C" w:rsidRDefault="0097594C"/>
    <w:p w14:paraId="11353073" w14:textId="77777777" w:rsidR="0097594C" w:rsidRDefault="0097594C"/>
    <w:p w14:paraId="40905F67" w14:textId="388805C9" w:rsidR="0097594C" w:rsidRPr="000E7E69" w:rsidRDefault="00903235">
      <w:pPr>
        <w:rPr>
          <w:bCs/>
        </w:rPr>
      </w:pPr>
      <w:r>
        <w:rPr>
          <w:b/>
        </w:rPr>
        <w:t xml:space="preserve">NOTE: </w:t>
      </w:r>
      <w:r w:rsidR="000E7E69">
        <w:rPr>
          <w:bCs/>
        </w:rPr>
        <w:t>The Government of Tuvalu has a declared a state of emergency preventing intern</w:t>
      </w:r>
      <w:r w:rsidR="006E2393">
        <w:rPr>
          <w:bCs/>
        </w:rPr>
        <w:t>a</w:t>
      </w:r>
      <w:r w:rsidR="000E7E69">
        <w:rPr>
          <w:bCs/>
        </w:rPr>
        <w:t xml:space="preserve">tional travel into Tuvalu. </w:t>
      </w:r>
      <w:r w:rsidR="006E2393">
        <w:rPr>
          <w:bCs/>
        </w:rPr>
        <w:t xml:space="preserve">TEC recognises this and encourages Suppliers to suggest alternative options for delivering the </w:t>
      </w:r>
      <w:r w:rsidR="00DD661D">
        <w:rPr>
          <w:bCs/>
        </w:rPr>
        <w:t>training</w:t>
      </w:r>
      <w:r w:rsidR="000536E5">
        <w:rPr>
          <w:bCs/>
        </w:rPr>
        <w:t xml:space="preserve"> with an option to do in-country training once travel restrictions have been lifted.</w:t>
      </w:r>
    </w:p>
    <w:p w14:paraId="624FB9A6" w14:textId="77777777" w:rsidR="007E24EE" w:rsidRPr="00B1547F" w:rsidRDefault="007E24EE">
      <w:pPr>
        <w:rPr>
          <w:b/>
        </w:rPr>
      </w:pPr>
    </w:p>
    <w:p w14:paraId="7DA8D206" w14:textId="77777777" w:rsidR="0097594C" w:rsidRDefault="0097594C"/>
    <w:p w14:paraId="048BC30C" w14:textId="508E27B1" w:rsidR="0097594C" w:rsidRDefault="0097594C">
      <w:pPr>
        <w:rPr>
          <w:lang w:val="en-GB" w:eastAsia="en-US"/>
        </w:rPr>
      </w:pPr>
    </w:p>
    <w:sectPr w:rsidR="0097594C" w:rsidSect="005235A1">
      <w:footerReference w:type="even" r:id="rId16"/>
      <w:footerReference w:type="default" r:id="rId17"/>
      <w:pgSz w:w="11906" w:h="16838" w:code="9"/>
      <w:pgMar w:top="1440" w:right="1440" w:bottom="1440" w:left="1440" w:header="720" w:footer="5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BFC789" w14:textId="77777777" w:rsidR="009D2180" w:rsidRDefault="009D2180">
      <w:r>
        <w:separator/>
      </w:r>
    </w:p>
  </w:endnote>
  <w:endnote w:type="continuationSeparator" w:id="0">
    <w:p w14:paraId="3B94E472" w14:textId="77777777" w:rsidR="009D2180" w:rsidRDefault="009D2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ndara">
    <w:panose1 w:val="020E0502030303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28529" w14:textId="77777777" w:rsidR="000977FA" w:rsidRDefault="000977FA" w:rsidP="006373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6DC7CE" w14:textId="77777777" w:rsidR="000977FA" w:rsidRDefault="000977FA" w:rsidP="00C8234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B5D39" w14:textId="77777777" w:rsidR="000977FA" w:rsidRPr="00637317" w:rsidRDefault="000977FA" w:rsidP="00637317">
    <w:pPr>
      <w:pStyle w:val="Footer"/>
      <w:framePr w:wrap="around" w:vAnchor="text" w:hAnchor="margin" w:xAlign="right" w:y="1"/>
      <w:rPr>
        <w:rStyle w:val="PageNumber"/>
        <w:sz w:val="20"/>
        <w:szCs w:val="20"/>
      </w:rPr>
    </w:pPr>
    <w:r w:rsidRPr="00637317">
      <w:rPr>
        <w:rStyle w:val="PageNumber"/>
        <w:sz w:val="20"/>
        <w:szCs w:val="20"/>
      </w:rPr>
      <w:fldChar w:fldCharType="begin"/>
    </w:r>
    <w:r w:rsidRPr="00637317">
      <w:rPr>
        <w:rStyle w:val="PageNumber"/>
        <w:sz w:val="20"/>
        <w:szCs w:val="20"/>
      </w:rPr>
      <w:instrText xml:space="preserve">PAGE  </w:instrText>
    </w:r>
    <w:r w:rsidRPr="00637317">
      <w:rPr>
        <w:rStyle w:val="PageNumber"/>
        <w:sz w:val="20"/>
        <w:szCs w:val="20"/>
      </w:rPr>
      <w:fldChar w:fldCharType="separate"/>
    </w:r>
    <w:r w:rsidR="0010539A">
      <w:rPr>
        <w:rStyle w:val="PageNumber"/>
        <w:noProof/>
        <w:sz w:val="20"/>
        <w:szCs w:val="20"/>
      </w:rPr>
      <w:t>2</w:t>
    </w:r>
    <w:r w:rsidRPr="00637317">
      <w:rPr>
        <w:rStyle w:val="PageNumber"/>
        <w:sz w:val="20"/>
        <w:szCs w:val="20"/>
      </w:rPr>
      <w:fldChar w:fldCharType="end"/>
    </w:r>
  </w:p>
  <w:p w14:paraId="34B30DB1" w14:textId="77777777" w:rsidR="000977FA" w:rsidRDefault="000977FA" w:rsidP="00C8234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A4CBE9" w14:textId="77777777" w:rsidR="009D2180" w:rsidRDefault="009D2180">
      <w:r>
        <w:separator/>
      </w:r>
    </w:p>
  </w:footnote>
  <w:footnote w:type="continuationSeparator" w:id="0">
    <w:p w14:paraId="36BFB331" w14:textId="77777777" w:rsidR="009D2180" w:rsidRDefault="009D218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A1A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2EE36ED"/>
    <w:multiLevelType w:val="hybridMultilevel"/>
    <w:tmpl w:val="EE7244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7A3DE2"/>
    <w:multiLevelType w:val="hybridMultilevel"/>
    <w:tmpl w:val="7510853E"/>
    <w:lvl w:ilvl="0" w:tplc="14090001">
      <w:start w:val="1"/>
      <w:numFmt w:val="bullet"/>
      <w:lvlText w:val=""/>
      <w:lvlJc w:val="left"/>
      <w:pPr>
        <w:ind w:left="825" w:hanging="360"/>
      </w:pPr>
      <w:rPr>
        <w:rFonts w:ascii="Symbol" w:hAnsi="Symbol" w:hint="default"/>
      </w:rPr>
    </w:lvl>
    <w:lvl w:ilvl="1" w:tplc="14090003">
      <w:start w:val="1"/>
      <w:numFmt w:val="bullet"/>
      <w:lvlText w:val="o"/>
      <w:lvlJc w:val="left"/>
      <w:pPr>
        <w:ind w:left="1545" w:hanging="360"/>
      </w:pPr>
      <w:rPr>
        <w:rFonts w:ascii="Courier New" w:hAnsi="Courier New" w:cs="Courier New" w:hint="default"/>
      </w:rPr>
    </w:lvl>
    <w:lvl w:ilvl="2" w:tplc="14090005">
      <w:start w:val="1"/>
      <w:numFmt w:val="bullet"/>
      <w:lvlText w:val=""/>
      <w:lvlJc w:val="left"/>
      <w:pPr>
        <w:ind w:left="2265" w:hanging="360"/>
      </w:pPr>
      <w:rPr>
        <w:rFonts w:ascii="Wingdings" w:hAnsi="Wingdings" w:hint="default"/>
      </w:rPr>
    </w:lvl>
    <w:lvl w:ilvl="3" w:tplc="14090001">
      <w:start w:val="1"/>
      <w:numFmt w:val="bullet"/>
      <w:lvlText w:val=""/>
      <w:lvlJc w:val="left"/>
      <w:pPr>
        <w:ind w:left="2985" w:hanging="360"/>
      </w:pPr>
      <w:rPr>
        <w:rFonts w:ascii="Symbol" w:hAnsi="Symbol" w:hint="default"/>
      </w:rPr>
    </w:lvl>
    <w:lvl w:ilvl="4" w:tplc="14090003">
      <w:start w:val="1"/>
      <w:numFmt w:val="bullet"/>
      <w:lvlText w:val="o"/>
      <w:lvlJc w:val="left"/>
      <w:pPr>
        <w:ind w:left="3705" w:hanging="360"/>
      </w:pPr>
      <w:rPr>
        <w:rFonts w:ascii="Courier New" w:hAnsi="Courier New" w:cs="Courier New" w:hint="default"/>
      </w:rPr>
    </w:lvl>
    <w:lvl w:ilvl="5" w:tplc="14090005">
      <w:start w:val="1"/>
      <w:numFmt w:val="bullet"/>
      <w:lvlText w:val=""/>
      <w:lvlJc w:val="left"/>
      <w:pPr>
        <w:ind w:left="4425" w:hanging="360"/>
      </w:pPr>
      <w:rPr>
        <w:rFonts w:ascii="Wingdings" w:hAnsi="Wingdings" w:hint="default"/>
      </w:rPr>
    </w:lvl>
    <w:lvl w:ilvl="6" w:tplc="14090001">
      <w:start w:val="1"/>
      <w:numFmt w:val="bullet"/>
      <w:lvlText w:val=""/>
      <w:lvlJc w:val="left"/>
      <w:pPr>
        <w:ind w:left="5145" w:hanging="360"/>
      </w:pPr>
      <w:rPr>
        <w:rFonts w:ascii="Symbol" w:hAnsi="Symbol" w:hint="default"/>
      </w:rPr>
    </w:lvl>
    <w:lvl w:ilvl="7" w:tplc="14090003">
      <w:start w:val="1"/>
      <w:numFmt w:val="bullet"/>
      <w:lvlText w:val="o"/>
      <w:lvlJc w:val="left"/>
      <w:pPr>
        <w:ind w:left="5865" w:hanging="360"/>
      </w:pPr>
      <w:rPr>
        <w:rFonts w:ascii="Courier New" w:hAnsi="Courier New" w:cs="Courier New" w:hint="default"/>
      </w:rPr>
    </w:lvl>
    <w:lvl w:ilvl="8" w:tplc="14090005">
      <w:start w:val="1"/>
      <w:numFmt w:val="bullet"/>
      <w:lvlText w:val=""/>
      <w:lvlJc w:val="left"/>
      <w:pPr>
        <w:ind w:left="6585" w:hanging="360"/>
      </w:pPr>
      <w:rPr>
        <w:rFonts w:ascii="Wingdings" w:hAnsi="Wingdings" w:hint="default"/>
      </w:rPr>
    </w:lvl>
  </w:abstractNum>
  <w:abstractNum w:abstractNumId="3">
    <w:nsid w:val="2C5E5B1D"/>
    <w:multiLevelType w:val="hybridMultilevel"/>
    <w:tmpl w:val="866EB4E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F102D49"/>
    <w:multiLevelType w:val="hybridMultilevel"/>
    <w:tmpl w:val="7F1A9E1C"/>
    <w:lvl w:ilvl="0" w:tplc="3258ABD6">
      <w:start w:val="1"/>
      <w:numFmt w:val="decimal"/>
      <w:lvlText w:val="%1."/>
      <w:lvlJc w:val="left"/>
      <w:pPr>
        <w:tabs>
          <w:tab w:val="num" w:pos="720"/>
        </w:tabs>
        <w:ind w:left="720" w:hanging="360"/>
      </w:pPr>
      <w:rPr>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2FCA1FBD"/>
    <w:multiLevelType w:val="hybridMultilevel"/>
    <w:tmpl w:val="8A964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0CB0BDB"/>
    <w:multiLevelType w:val="hybridMultilevel"/>
    <w:tmpl w:val="1CEC0906"/>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
    <w:nsid w:val="36213E83"/>
    <w:multiLevelType w:val="hybridMultilevel"/>
    <w:tmpl w:val="C0A04204"/>
    <w:lvl w:ilvl="0" w:tplc="0B08870E">
      <w:start w:val="1"/>
      <w:numFmt w:val="lowerRoman"/>
      <w:lvlText w:val="(%1)"/>
      <w:lvlJc w:val="left"/>
      <w:pPr>
        <w:ind w:left="1440" w:hanging="360"/>
      </w:pPr>
      <w:rPr>
        <w:rFonts w:hint="default"/>
      </w:rPr>
    </w:lvl>
    <w:lvl w:ilvl="1" w:tplc="A8AA03F8" w:tentative="1">
      <w:start w:val="1"/>
      <w:numFmt w:val="lowerLetter"/>
      <w:lvlText w:val="%2."/>
      <w:lvlJc w:val="left"/>
      <w:pPr>
        <w:ind w:left="1440" w:hanging="360"/>
      </w:pPr>
    </w:lvl>
    <w:lvl w:ilvl="2" w:tplc="82EAB706" w:tentative="1">
      <w:start w:val="1"/>
      <w:numFmt w:val="lowerRoman"/>
      <w:lvlText w:val="%3."/>
      <w:lvlJc w:val="right"/>
      <w:pPr>
        <w:ind w:left="2160" w:hanging="180"/>
      </w:pPr>
    </w:lvl>
    <w:lvl w:ilvl="3" w:tplc="E6725296" w:tentative="1">
      <w:start w:val="1"/>
      <w:numFmt w:val="decimal"/>
      <w:lvlText w:val="%4."/>
      <w:lvlJc w:val="left"/>
      <w:pPr>
        <w:ind w:left="2880" w:hanging="360"/>
      </w:pPr>
    </w:lvl>
    <w:lvl w:ilvl="4" w:tplc="97A6317E" w:tentative="1">
      <w:start w:val="1"/>
      <w:numFmt w:val="lowerLetter"/>
      <w:lvlText w:val="%5."/>
      <w:lvlJc w:val="left"/>
      <w:pPr>
        <w:ind w:left="3600" w:hanging="360"/>
      </w:pPr>
    </w:lvl>
    <w:lvl w:ilvl="5" w:tplc="1A2A02AA" w:tentative="1">
      <w:start w:val="1"/>
      <w:numFmt w:val="lowerRoman"/>
      <w:lvlText w:val="%6."/>
      <w:lvlJc w:val="right"/>
      <w:pPr>
        <w:ind w:left="4320" w:hanging="180"/>
      </w:pPr>
    </w:lvl>
    <w:lvl w:ilvl="6" w:tplc="908E3884" w:tentative="1">
      <w:start w:val="1"/>
      <w:numFmt w:val="decimal"/>
      <w:lvlText w:val="%7."/>
      <w:lvlJc w:val="left"/>
      <w:pPr>
        <w:ind w:left="5040" w:hanging="360"/>
      </w:pPr>
    </w:lvl>
    <w:lvl w:ilvl="7" w:tplc="71462CBA" w:tentative="1">
      <w:start w:val="1"/>
      <w:numFmt w:val="lowerLetter"/>
      <w:lvlText w:val="%8."/>
      <w:lvlJc w:val="left"/>
      <w:pPr>
        <w:ind w:left="5760" w:hanging="360"/>
      </w:pPr>
    </w:lvl>
    <w:lvl w:ilvl="8" w:tplc="33243942" w:tentative="1">
      <w:start w:val="1"/>
      <w:numFmt w:val="lowerRoman"/>
      <w:lvlText w:val="%9."/>
      <w:lvlJc w:val="right"/>
      <w:pPr>
        <w:ind w:left="6480" w:hanging="180"/>
      </w:pPr>
    </w:lvl>
  </w:abstractNum>
  <w:abstractNum w:abstractNumId="8">
    <w:nsid w:val="3B3F19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23066F8"/>
    <w:multiLevelType w:val="hybridMultilevel"/>
    <w:tmpl w:val="08E6C300"/>
    <w:lvl w:ilvl="0" w:tplc="6630CDB8">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4AA572B5"/>
    <w:multiLevelType w:val="hybridMultilevel"/>
    <w:tmpl w:val="D6A29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AE15873"/>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
    <w:nsid w:val="575341D0"/>
    <w:multiLevelType w:val="hybridMultilevel"/>
    <w:tmpl w:val="F304835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59EF0201"/>
    <w:multiLevelType w:val="hybridMultilevel"/>
    <w:tmpl w:val="6F4E9E06"/>
    <w:lvl w:ilvl="0" w:tplc="3E664B7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274A1A"/>
    <w:multiLevelType w:val="hybridMultilevel"/>
    <w:tmpl w:val="2F2C158A"/>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5">
    <w:nsid w:val="7396017A"/>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2"/>
  </w:num>
  <w:num w:numId="2">
    <w:abstractNumId w:val="4"/>
  </w:num>
  <w:num w:numId="3">
    <w:abstractNumId w:val="1"/>
  </w:num>
  <w:num w:numId="4">
    <w:abstractNumId w:val="5"/>
  </w:num>
  <w:num w:numId="5">
    <w:abstractNumId w:val="12"/>
  </w:num>
  <w:num w:numId="6">
    <w:abstractNumId w:val="9"/>
  </w:num>
  <w:num w:numId="7">
    <w:abstractNumId w:val="7"/>
  </w:num>
  <w:num w:numId="8">
    <w:abstractNumId w:val="0"/>
  </w:num>
  <w:num w:numId="9">
    <w:abstractNumId w:val="15"/>
  </w:num>
  <w:num w:numId="10">
    <w:abstractNumId w:val="11"/>
  </w:num>
  <w:num w:numId="11">
    <w:abstractNumId w:val="13"/>
  </w:num>
  <w:num w:numId="12">
    <w:abstractNumId w:val="8"/>
  </w:num>
  <w:num w:numId="13">
    <w:abstractNumId w:val="6"/>
  </w:num>
  <w:num w:numId="14">
    <w:abstractNumId w:val="1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C77"/>
    <w:rsid w:val="000056D3"/>
    <w:rsid w:val="00006702"/>
    <w:rsid w:val="00006C59"/>
    <w:rsid w:val="00020B9E"/>
    <w:rsid w:val="00043C9F"/>
    <w:rsid w:val="00043E64"/>
    <w:rsid w:val="00051221"/>
    <w:rsid w:val="0005242D"/>
    <w:rsid w:val="000536E5"/>
    <w:rsid w:val="000564D4"/>
    <w:rsid w:val="000570A2"/>
    <w:rsid w:val="00062447"/>
    <w:rsid w:val="00073068"/>
    <w:rsid w:val="0007398E"/>
    <w:rsid w:val="000855D4"/>
    <w:rsid w:val="000937F6"/>
    <w:rsid w:val="000977FA"/>
    <w:rsid w:val="000B046A"/>
    <w:rsid w:val="000B5ABA"/>
    <w:rsid w:val="000B7155"/>
    <w:rsid w:val="000C397B"/>
    <w:rsid w:val="000C4189"/>
    <w:rsid w:val="000E6213"/>
    <w:rsid w:val="000E7E69"/>
    <w:rsid w:val="000F4975"/>
    <w:rsid w:val="000F6BF8"/>
    <w:rsid w:val="00101CE4"/>
    <w:rsid w:val="00104208"/>
    <w:rsid w:val="001052BE"/>
    <w:rsid w:val="0010539A"/>
    <w:rsid w:val="00115512"/>
    <w:rsid w:val="00115B9A"/>
    <w:rsid w:val="0012016D"/>
    <w:rsid w:val="00131051"/>
    <w:rsid w:val="00132A3D"/>
    <w:rsid w:val="00145B6C"/>
    <w:rsid w:val="00147478"/>
    <w:rsid w:val="001534C7"/>
    <w:rsid w:val="001563AF"/>
    <w:rsid w:val="00160B7B"/>
    <w:rsid w:val="00164A85"/>
    <w:rsid w:val="00167C1A"/>
    <w:rsid w:val="00175F7D"/>
    <w:rsid w:val="001771FC"/>
    <w:rsid w:val="0017732C"/>
    <w:rsid w:val="001936A6"/>
    <w:rsid w:val="00194C8D"/>
    <w:rsid w:val="00197342"/>
    <w:rsid w:val="001A401D"/>
    <w:rsid w:val="001C27C1"/>
    <w:rsid w:val="001C35E2"/>
    <w:rsid w:val="001C4080"/>
    <w:rsid w:val="001D29FA"/>
    <w:rsid w:val="001D4BB9"/>
    <w:rsid w:val="001D4BC9"/>
    <w:rsid w:val="001D76B8"/>
    <w:rsid w:val="001E064F"/>
    <w:rsid w:val="001E08FA"/>
    <w:rsid w:val="001E1535"/>
    <w:rsid w:val="001E7583"/>
    <w:rsid w:val="001F6297"/>
    <w:rsid w:val="00202C41"/>
    <w:rsid w:val="00210509"/>
    <w:rsid w:val="00211BF7"/>
    <w:rsid w:val="002216C7"/>
    <w:rsid w:val="00223E54"/>
    <w:rsid w:val="002275EA"/>
    <w:rsid w:val="002375B8"/>
    <w:rsid w:val="00240E81"/>
    <w:rsid w:val="00244FA6"/>
    <w:rsid w:val="00246E62"/>
    <w:rsid w:val="00250204"/>
    <w:rsid w:val="00251A9E"/>
    <w:rsid w:val="00253548"/>
    <w:rsid w:val="0025675A"/>
    <w:rsid w:val="00257DD2"/>
    <w:rsid w:val="00261362"/>
    <w:rsid w:val="00261D50"/>
    <w:rsid w:val="0026441D"/>
    <w:rsid w:val="002662CF"/>
    <w:rsid w:val="00275962"/>
    <w:rsid w:val="00280C08"/>
    <w:rsid w:val="00282676"/>
    <w:rsid w:val="00284133"/>
    <w:rsid w:val="00293CD3"/>
    <w:rsid w:val="002A00AD"/>
    <w:rsid w:val="002C1FB5"/>
    <w:rsid w:val="002D03DC"/>
    <w:rsid w:val="002D12A0"/>
    <w:rsid w:val="002D2C45"/>
    <w:rsid w:val="002D460F"/>
    <w:rsid w:val="002D6936"/>
    <w:rsid w:val="002E07AC"/>
    <w:rsid w:val="002E18C2"/>
    <w:rsid w:val="002E29CB"/>
    <w:rsid w:val="002F318A"/>
    <w:rsid w:val="002F4A22"/>
    <w:rsid w:val="00305FC3"/>
    <w:rsid w:val="00311BEC"/>
    <w:rsid w:val="00314F69"/>
    <w:rsid w:val="00327ACF"/>
    <w:rsid w:val="0033385C"/>
    <w:rsid w:val="003622AE"/>
    <w:rsid w:val="00366660"/>
    <w:rsid w:val="003717D2"/>
    <w:rsid w:val="003724A9"/>
    <w:rsid w:val="003809B5"/>
    <w:rsid w:val="0038480C"/>
    <w:rsid w:val="003A1135"/>
    <w:rsid w:val="003B0AC6"/>
    <w:rsid w:val="003B7ED8"/>
    <w:rsid w:val="003C479C"/>
    <w:rsid w:val="003D4158"/>
    <w:rsid w:val="003D4EDD"/>
    <w:rsid w:val="003D6C54"/>
    <w:rsid w:val="003E484F"/>
    <w:rsid w:val="003E5688"/>
    <w:rsid w:val="003F6111"/>
    <w:rsid w:val="003F651F"/>
    <w:rsid w:val="00412DAF"/>
    <w:rsid w:val="00412F2E"/>
    <w:rsid w:val="00415B48"/>
    <w:rsid w:val="0042077E"/>
    <w:rsid w:val="0042158C"/>
    <w:rsid w:val="0043466E"/>
    <w:rsid w:val="00434BC3"/>
    <w:rsid w:val="00436376"/>
    <w:rsid w:val="00441FDA"/>
    <w:rsid w:val="00442661"/>
    <w:rsid w:val="00444BB9"/>
    <w:rsid w:val="004526D7"/>
    <w:rsid w:val="00460B6C"/>
    <w:rsid w:val="00461195"/>
    <w:rsid w:val="0047090F"/>
    <w:rsid w:val="00487981"/>
    <w:rsid w:val="00490F4A"/>
    <w:rsid w:val="00494260"/>
    <w:rsid w:val="00494676"/>
    <w:rsid w:val="004A13B5"/>
    <w:rsid w:val="004A3D8C"/>
    <w:rsid w:val="004A7E51"/>
    <w:rsid w:val="004B2D2C"/>
    <w:rsid w:val="004C009F"/>
    <w:rsid w:val="004C2D34"/>
    <w:rsid w:val="004C4168"/>
    <w:rsid w:val="004C667A"/>
    <w:rsid w:val="004D59D6"/>
    <w:rsid w:val="004D6E1C"/>
    <w:rsid w:val="004E37F6"/>
    <w:rsid w:val="004E4197"/>
    <w:rsid w:val="004E7966"/>
    <w:rsid w:val="005010AE"/>
    <w:rsid w:val="00503385"/>
    <w:rsid w:val="0050341C"/>
    <w:rsid w:val="00516A2D"/>
    <w:rsid w:val="00517328"/>
    <w:rsid w:val="00517F55"/>
    <w:rsid w:val="005235A1"/>
    <w:rsid w:val="005365C2"/>
    <w:rsid w:val="005378D4"/>
    <w:rsid w:val="00544919"/>
    <w:rsid w:val="00551319"/>
    <w:rsid w:val="0055477C"/>
    <w:rsid w:val="005600CE"/>
    <w:rsid w:val="00561128"/>
    <w:rsid w:val="0056376B"/>
    <w:rsid w:val="00566202"/>
    <w:rsid w:val="00574C2B"/>
    <w:rsid w:val="0058171A"/>
    <w:rsid w:val="00587F6B"/>
    <w:rsid w:val="0059009F"/>
    <w:rsid w:val="00592027"/>
    <w:rsid w:val="0059744C"/>
    <w:rsid w:val="005A1F48"/>
    <w:rsid w:val="005A3848"/>
    <w:rsid w:val="005A583C"/>
    <w:rsid w:val="005B5AAA"/>
    <w:rsid w:val="005B6DB0"/>
    <w:rsid w:val="005C2959"/>
    <w:rsid w:val="005C3104"/>
    <w:rsid w:val="005C5096"/>
    <w:rsid w:val="005C591A"/>
    <w:rsid w:val="005D5FC7"/>
    <w:rsid w:val="005E167D"/>
    <w:rsid w:val="005E4D0F"/>
    <w:rsid w:val="005F235B"/>
    <w:rsid w:val="00605D2E"/>
    <w:rsid w:val="00611AF8"/>
    <w:rsid w:val="006151E7"/>
    <w:rsid w:val="00627EE1"/>
    <w:rsid w:val="006307D2"/>
    <w:rsid w:val="00637317"/>
    <w:rsid w:val="006376EC"/>
    <w:rsid w:val="00642C77"/>
    <w:rsid w:val="006449A5"/>
    <w:rsid w:val="00645F77"/>
    <w:rsid w:val="006512FA"/>
    <w:rsid w:val="00657D27"/>
    <w:rsid w:val="00660274"/>
    <w:rsid w:val="00665F7F"/>
    <w:rsid w:val="006725B2"/>
    <w:rsid w:val="00673FBA"/>
    <w:rsid w:val="00685B33"/>
    <w:rsid w:val="006A0626"/>
    <w:rsid w:val="006A313B"/>
    <w:rsid w:val="006A676F"/>
    <w:rsid w:val="006A7C03"/>
    <w:rsid w:val="006B21A6"/>
    <w:rsid w:val="006C45B7"/>
    <w:rsid w:val="006C7869"/>
    <w:rsid w:val="006D1917"/>
    <w:rsid w:val="006D40A5"/>
    <w:rsid w:val="006E2393"/>
    <w:rsid w:val="006E2677"/>
    <w:rsid w:val="006E2841"/>
    <w:rsid w:val="006E4B1D"/>
    <w:rsid w:val="006E50B3"/>
    <w:rsid w:val="007004C7"/>
    <w:rsid w:val="00702375"/>
    <w:rsid w:val="00712420"/>
    <w:rsid w:val="007130EF"/>
    <w:rsid w:val="0071570C"/>
    <w:rsid w:val="00725B2E"/>
    <w:rsid w:val="00726781"/>
    <w:rsid w:val="00731CB7"/>
    <w:rsid w:val="00734ADB"/>
    <w:rsid w:val="00743714"/>
    <w:rsid w:val="00760FA5"/>
    <w:rsid w:val="00762681"/>
    <w:rsid w:val="00765653"/>
    <w:rsid w:val="0078113D"/>
    <w:rsid w:val="007902E5"/>
    <w:rsid w:val="007933F2"/>
    <w:rsid w:val="0079433E"/>
    <w:rsid w:val="007975B4"/>
    <w:rsid w:val="007A25DE"/>
    <w:rsid w:val="007A7F48"/>
    <w:rsid w:val="007B51B8"/>
    <w:rsid w:val="007B69E9"/>
    <w:rsid w:val="007B7C7F"/>
    <w:rsid w:val="007C2324"/>
    <w:rsid w:val="007C5405"/>
    <w:rsid w:val="007C6CBD"/>
    <w:rsid w:val="007E24EE"/>
    <w:rsid w:val="007E3F5C"/>
    <w:rsid w:val="007E7780"/>
    <w:rsid w:val="007E7E28"/>
    <w:rsid w:val="007F20E0"/>
    <w:rsid w:val="007F3482"/>
    <w:rsid w:val="007F407C"/>
    <w:rsid w:val="007F775C"/>
    <w:rsid w:val="00801637"/>
    <w:rsid w:val="00802368"/>
    <w:rsid w:val="008109F4"/>
    <w:rsid w:val="00823662"/>
    <w:rsid w:val="00823EB2"/>
    <w:rsid w:val="00824954"/>
    <w:rsid w:val="00824FAD"/>
    <w:rsid w:val="00832711"/>
    <w:rsid w:val="00836895"/>
    <w:rsid w:val="00840247"/>
    <w:rsid w:val="00840F18"/>
    <w:rsid w:val="0084668E"/>
    <w:rsid w:val="00847904"/>
    <w:rsid w:val="00850DE6"/>
    <w:rsid w:val="0085127F"/>
    <w:rsid w:val="008514E0"/>
    <w:rsid w:val="008524CB"/>
    <w:rsid w:val="00875AF5"/>
    <w:rsid w:val="008831F9"/>
    <w:rsid w:val="008843F1"/>
    <w:rsid w:val="008916E5"/>
    <w:rsid w:val="008949A2"/>
    <w:rsid w:val="008962C4"/>
    <w:rsid w:val="008A116A"/>
    <w:rsid w:val="008C13AA"/>
    <w:rsid w:val="008C3157"/>
    <w:rsid w:val="008D133F"/>
    <w:rsid w:val="008D2CA3"/>
    <w:rsid w:val="008E2B35"/>
    <w:rsid w:val="008F3A0E"/>
    <w:rsid w:val="008F4322"/>
    <w:rsid w:val="008F7154"/>
    <w:rsid w:val="00900A66"/>
    <w:rsid w:val="00903235"/>
    <w:rsid w:val="00903C73"/>
    <w:rsid w:val="00903E62"/>
    <w:rsid w:val="00912A12"/>
    <w:rsid w:val="00913225"/>
    <w:rsid w:val="00913581"/>
    <w:rsid w:val="009147A9"/>
    <w:rsid w:val="009172BA"/>
    <w:rsid w:val="00921BE2"/>
    <w:rsid w:val="00924B8E"/>
    <w:rsid w:val="0094047B"/>
    <w:rsid w:val="00940955"/>
    <w:rsid w:val="0095315A"/>
    <w:rsid w:val="009550FD"/>
    <w:rsid w:val="00962E17"/>
    <w:rsid w:val="0096614D"/>
    <w:rsid w:val="00973FF0"/>
    <w:rsid w:val="0097594C"/>
    <w:rsid w:val="0098298B"/>
    <w:rsid w:val="00983FA0"/>
    <w:rsid w:val="00986D7C"/>
    <w:rsid w:val="0099428D"/>
    <w:rsid w:val="00996FB1"/>
    <w:rsid w:val="00997173"/>
    <w:rsid w:val="009A1BC0"/>
    <w:rsid w:val="009A28D2"/>
    <w:rsid w:val="009A7962"/>
    <w:rsid w:val="009B0562"/>
    <w:rsid w:val="009B14AE"/>
    <w:rsid w:val="009B364D"/>
    <w:rsid w:val="009B61AA"/>
    <w:rsid w:val="009D2180"/>
    <w:rsid w:val="009D364F"/>
    <w:rsid w:val="009D36EF"/>
    <w:rsid w:val="009E2DBC"/>
    <w:rsid w:val="009E3C76"/>
    <w:rsid w:val="009E6AF0"/>
    <w:rsid w:val="009E7C29"/>
    <w:rsid w:val="009F4109"/>
    <w:rsid w:val="00A00053"/>
    <w:rsid w:val="00A04B34"/>
    <w:rsid w:val="00A0645B"/>
    <w:rsid w:val="00A0703E"/>
    <w:rsid w:val="00A103E4"/>
    <w:rsid w:val="00A11474"/>
    <w:rsid w:val="00A13430"/>
    <w:rsid w:val="00A1366F"/>
    <w:rsid w:val="00A15080"/>
    <w:rsid w:val="00A17FED"/>
    <w:rsid w:val="00A21C9E"/>
    <w:rsid w:val="00A22602"/>
    <w:rsid w:val="00A2383E"/>
    <w:rsid w:val="00A267E9"/>
    <w:rsid w:val="00A26B87"/>
    <w:rsid w:val="00A356EF"/>
    <w:rsid w:val="00A35B2E"/>
    <w:rsid w:val="00A47C9D"/>
    <w:rsid w:val="00A50D58"/>
    <w:rsid w:val="00A53942"/>
    <w:rsid w:val="00A53A22"/>
    <w:rsid w:val="00A53D59"/>
    <w:rsid w:val="00A60063"/>
    <w:rsid w:val="00A625AF"/>
    <w:rsid w:val="00A7371A"/>
    <w:rsid w:val="00A76060"/>
    <w:rsid w:val="00A774EC"/>
    <w:rsid w:val="00A7772E"/>
    <w:rsid w:val="00A91D40"/>
    <w:rsid w:val="00A940E0"/>
    <w:rsid w:val="00A96275"/>
    <w:rsid w:val="00A97754"/>
    <w:rsid w:val="00AA2D4D"/>
    <w:rsid w:val="00AA741C"/>
    <w:rsid w:val="00AB4EA7"/>
    <w:rsid w:val="00AB6FEC"/>
    <w:rsid w:val="00AC0B08"/>
    <w:rsid w:val="00AC1214"/>
    <w:rsid w:val="00AC6E85"/>
    <w:rsid w:val="00AE14B0"/>
    <w:rsid w:val="00AE3A6F"/>
    <w:rsid w:val="00AF1C35"/>
    <w:rsid w:val="00AF397C"/>
    <w:rsid w:val="00AF5E22"/>
    <w:rsid w:val="00B00A09"/>
    <w:rsid w:val="00B01986"/>
    <w:rsid w:val="00B072F3"/>
    <w:rsid w:val="00B222F2"/>
    <w:rsid w:val="00B231F4"/>
    <w:rsid w:val="00B232AA"/>
    <w:rsid w:val="00B247EC"/>
    <w:rsid w:val="00B30147"/>
    <w:rsid w:val="00B50539"/>
    <w:rsid w:val="00B50682"/>
    <w:rsid w:val="00B50F7D"/>
    <w:rsid w:val="00B532D8"/>
    <w:rsid w:val="00B57E34"/>
    <w:rsid w:val="00B71939"/>
    <w:rsid w:val="00B729BA"/>
    <w:rsid w:val="00B81976"/>
    <w:rsid w:val="00B86B7B"/>
    <w:rsid w:val="00B94892"/>
    <w:rsid w:val="00BA02BE"/>
    <w:rsid w:val="00BA4B06"/>
    <w:rsid w:val="00BA55B5"/>
    <w:rsid w:val="00BE263D"/>
    <w:rsid w:val="00BE3C35"/>
    <w:rsid w:val="00BE5A34"/>
    <w:rsid w:val="00BE702D"/>
    <w:rsid w:val="00BF04D6"/>
    <w:rsid w:val="00BF22C5"/>
    <w:rsid w:val="00BF6978"/>
    <w:rsid w:val="00C00642"/>
    <w:rsid w:val="00C01FA9"/>
    <w:rsid w:val="00C11854"/>
    <w:rsid w:val="00C12FCC"/>
    <w:rsid w:val="00C170DF"/>
    <w:rsid w:val="00C26008"/>
    <w:rsid w:val="00C30C63"/>
    <w:rsid w:val="00C3121F"/>
    <w:rsid w:val="00C316BE"/>
    <w:rsid w:val="00C32090"/>
    <w:rsid w:val="00C35458"/>
    <w:rsid w:val="00C5128A"/>
    <w:rsid w:val="00C55949"/>
    <w:rsid w:val="00C621EF"/>
    <w:rsid w:val="00C63F6E"/>
    <w:rsid w:val="00C67E28"/>
    <w:rsid w:val="00C70B64"/>
    <w:rsid w:val="00C73A2A"/>
    <w:rsid w:val="00C80E11"/>
    <w:rsid w:val="00C82349"/>
    <w:rsid w:val="00C82EE3"/>
    <w:rsid w:val="00C83892"/>
    <w:rsid w:val="00C905F8"/>
    <w:rsid w:val="00C95060"/>
    <w:rsid w:val="00CA0136"/>
    <w:rsid w:val="00CA69E8"/>
    <w:rsid w:val="00CA73E9"/>
    <w:rsid w:val="00CA7B69"/>
    <w:rsid w:val="00CA7F4F"/>
    <w:rsid w:val="00CB0D02"/>
    <w:rsid w:val="00CB4769"/>
    <w:rsid w:val="00CB72EA"/>
    <w:rsid w:val="00CB7F55"/>
    <w:rsid w:val="00CC010B"/>
    <w:rsid w:val="00CC644A"/>
    <w:rsid w:val="00CD5D30"/>
    <w:rsid w:val="00CD73D6"/>
    <w:rsid w:val="00CE3D83"/>
    <w:rsid w:val="00CE3FB5"/>
    <w:rsid w:val="00CE67BB"/>
    <w:rsid w:val="00CF0FA9"/>
    <w:rsid w:val="00CF7594"/>
    <w:rsid w:val="00D046D4"/>
    <w:rsid w:val="00D06728"/>
    <w:rsid w:val="00D131BB"/>
    <w:rsid w:val="00D21E38"/>
    <w:rsid w:val="00D36EBB"/>
    <w:rsid w:val="00D41009"/>
    <w:rsid w:val="00D42332"/>
    <w:rsid w:val="00D43E24"/>
    <w:rsid w:val="00D45164"/>
    <w:rsid w:val="00D46835"/>
    <w:rsid w:val="00D47036"/>
    <w:rsid w:val="00D51FB5"/>
    <w:rsid w:val="00D56DE3"/>
    <w:rsid w:val="00D8054B"/>
    <w:rsid w:val="00D83E1E"/>
    <w:rsid w:val="00D94976"/>
    <w:rsid w:val="00D9511F"/>
    <w:rsid w:val="00DA1771"/>
    <w:rsid w:val="00DA3B36"/>
    <w:rsid w:val="00DA3C7F"/>
    <w:rsid w:val="00DA3F94"/>
    <w:rsid w:val="00DA55DF"/>
    <w:rsid w:val="00DA57B8"/>
    <w:rsid w:val="00DB052F"/>
    <w:rsid w:val="00DB2BB5"/>
    <w:rsid w:val="00DB4DE4"/>
    <w:rsid w:val="00DB638A"/>
    <w:rsid w:val="00DC5D46"/>
    <w:rsid w:val="00DD5977"/>
    <w:rsid w:val="00DD661D"/>
    <w:rsid w:val="00DD72D7"/>
    <w:rsid w:val="00DE1B06"/>
    <w:rsid w:val="00DE6514"/>
    <w:rsid w:val="00DF12F2"/>
    <w:rsid w:val="00DF1FF8"/>
    <w:rsid w:val="00DF5854"/>
    <w:rsid w:val="00E000AA"/>
    <w:rsid w:val="00E0635E"/>
    <w:rsid w:val="00E16E06"/>
    <w:rsid w:val="00E17D78"/>
    <w:rsid w:val="00E24AE0"/>
    <w:rsid w:val="00E25313"/>
    <w:rsid w:val="00E3709A"/>
    <w:rsid w:val="00E42F7A"/>
    <w:rsid w:val="00E42FC1"/>
    <w:rsid w:val="00E44069"/>
    <w:rsid w:val="00E4414D"/>
    <w:rsid w:val="00E47833"/>
    <w:rsid w:val="00E5107A"/>
    <w:rsid w:val="00E545BE"/>
    <w:rsid w:val="00E5473C"/>
    <w:rsid w:val="00E57518"/>
    <w:rsid w:val="00E6016B"/>
    <w:rsid w:val="00E621AD"/>
    <w:rsid w:val="00E65465"/>
    <w:rsid w:val="00E80FC1"/>
    <w:rsid w:val="00E835C8"/>
    <w:rsid w:val="00E87D52"/>
    <w:rsid w:val="00E9002E"/>
    <w:rsid w:val="00E90761"/>
    <w:rsid w:val="00E96534"/>
    <w:rsid w:val="00EA3B1F"/>
    <w:rsid w:val="00EB49FB"/>
    <w:rsid w:val="00EC5BDC"/>
    <w:rsid w:val="00EC7781"/>
    <w:rsid w:val="00ED1A38"/>
    <w:rsid w:val="00ED63D3"/>
    <w:rsid w:val="00ED7996"/>
    <w:rsid w:val="00EF0A27"/>
    <w:rsid w:val="00EF2A9E"/>
    <w:rsid w:val="00EF2C7D"/>
    <w:rsid w:val="00EF7FFB"/>
    <w:rsid w:val="00F0763E"/>
    <w:rsid w:val="00F20E67"/>
    <w:rsid w:val="00F279DC"/>
    <w:rsid w:val="00F317DC"/>
    <w:rsid w:val="00F4416D"/>
    <w:rsid w:val="00F44C39"/>
    <w:rsid w:val="00F451D8"/>
    <w:rsid w:val="00F522BA"/>
    <w:rsid w:val="00F60869"/>
    <w:rsid w:val="00F70FFA"/>
    <w:rsid w:val="00F74A60"/>
    <w:rsid w:val="00F75140"/>
    <w:rsid w:val="00F76DE0"/>
    <w:rsid w:val="00F8285E"/>
    <w:rsid w:val="00F847AC"/>
    <w:rsid w:val="00F87F65"/>
    <w:rsid w:val="00F91C86"/>
    <w:rsid w:val="00FA0415"/>
    <w:rsid w:val="00FB3BFD"/>
    <w:rsid w:val="00FC518D"/>
    <w:rsid w:val="00FD126A"/>
    <w:rsid w:val="00FD4712"/>
    <w:rsid w:val="00FE26D6"/>
    <w:rsid w:val="00FE5C08"/>
    <w:rsid w:val="00FF4833"/>
    <w:rsid w:val="00FF594A"/>
    <w:rsid w:val="00FF680E"/>
    <w:rsid w:val="00FF7336"/>
    <w:rsid w:val="00FF7A3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A1D2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6F"/>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22F2"/>
    <w:pPr>
      <w:tabs>
        <w:tab w:val="center" w:pos="4153"/>
        <w:tab w:val="right" w:pos="8306"/>
      </w:tabs>
    </w:pPr>
  </w:style>
  <w:style w:type="paragraph" w:styleId="Footer">
    <w:name w:val="footer"/>
    <w:basedOn w:val="Normal"/>
    <w:link w:val="FooterChar"/>
    <w:uiPriority w:val="99"/>
    <w:rsid w:val="00B222F2"/>
    <w:pPr>
      <w:tabs>
        <w:tab w:val="center" w:pos="4153"/>
        <w:tab w:val="right" w:pos="8306"/>
      </w:tabs>
    </w:pPr>
  </w:style>
  <w:style w:type="paragraph" w:styleId="BodyText">
    <w:name w:val="Body Text"/>
    <w:basedOn w:val="Normal"/>
    <w:rsid w:val="00B222F2"/>
    <w:pPr>
      <w:spacing w:after="120"/>
    </w:pPr>
    <w:rPr>
      <w:szCs w:val="20"/>
      <w:lang w:val="en-US" w:eastAsia="en-US"/>
    </w:rPr>
  </w:style>
  <w:style w:type="paragraph" w:styleId="BalloonText">
    <w:name w:val="Balloon Text"/>
    <w:basedOn w:val="Normal"/>
    <w:semiHidden/>
    <w:rsid w:val="0058171A"/>
    <w:rPr>
      <w:rFonts w:ascii="Tahoma" w:hAnsi="Tahoma" w:cs="Tahoma"/>
      <w:sz w:val="16"/>
      <w:szCs w:val="16"/>
    </w:rPr>
  </w:style>
  <w:style w:type="character" w:styleId="Hyperlink">
    <w:name w:val="Hyperlink"/>
    <w:uiPriority w:val="99"/>
    <w:rsid w:val="00B86B7B"/>
    <w:rPr>
      <w:color w:val="0000FF"/>
      <w:u w:val="single"/>
    </w:rPr>
  </w:style>
  <w:style w:type="character" w:customStyle="1" w:styleId="FooterChar">
    <w:name w:val="Footer Char"/>
    <w:link w:val="Footer"/>
    <w:uiPriority w:val="99"/>
    <w:rsid w:val="00B86B7B"/>
    <w:rPr>
      <w:sz w:val="24"/>
      <w:szCs w:val="24"/>
      <w:lang w:val="en-AU" w:eastAsia="en-AU"/>
    </w:rPr>
  </w:style>
  <w:style w:type="character" w:customStyle="1" w:styleId="HeaderChar">
    <w:name w:val="Header Char"/>
    <w:link w:val="Header"/>
    <w:uiPriority w:val="99"/>
    <w:rsid w:val="00CE67BB"/>
    <w:rPr>
      <w:sz w:val="24"/>
      <w:szCs w:val="24"/>
      <w:lang w:val="en-AU" w:eastAsia="en-AU"/>
    </w:rPr>
  </w:style>
  <w:style w:type="paragraph" w:styleId="ListParagraph">
    <w:name w:val="List Paragraph"/>
    <w:basedOn w:val="Normal"/>
    <w:uiPriority w:val="34"/>
    <w:qFormat/>
    <w:rsid w:val="00E6016B"/>
    <w:pPr>
      <w:spacing w:after="200"/>
      <w:ind w:left="720"/>
      <w:contextualSpacing/>
    </w:pPr>
    <w:rPr>
      <w:rFonts w:ascii="Calibri" w:eastAsia="Calibri" w:hAnsi="Calibri"/>
      <w:lang w:val="en-GB" w:eastAsia="en-US"/>
    </w:rPr>
  </w:style>
  <w:style w:type="paragraph" w:styleId="BodyText2">
    <w:name w:val="Body Text 2"/>
    <w:basedOn w:val="Normal"/>
    <w:link w:val="BodyText2Char"/>
    <w:unhideWhenUsed/>
    <w:rsid w:val="00CC644A"/>
    <w:pPr>
      <w:spacing w:after="120" w:line="480" w:lineRule="auto"/>
    </w:pPr>
  </w:style>
  <w:style w:type="character" w:customStyle="1" w:styleId="BodyText2Char">
    <w:name w:val="Body Text 2 Char"/>
    <w:basedOn w:val="DefaultParagraphFont"/>
    <w:link w:val="BodyText2"/>
    <w:rsid w:val="00CC644A"/>
    <w:rPr>
      <w:sz w:val="24"/>
      <w:szCs w:val="24"/>
      <w:lang w:val="en-AU" w:eastAsia="en-AU"/>
    </w:rPr>
  </w:style>
  <w:style w:type="paragraph" w:customStyle="1" w:styleId="ListeParagraf">
    <w:name w:val="Liste Paragraf"/>
    <w:basedOn w:val="Normal"/>
    <w:uiPriority w:val="34"/>
    <w:qFormat/>
    <w:rsid w:val="00CC644A"/>
    <w:pPr>
      <w:ind w:left="720"/>
      <w:contextualSpacing/>
    </w:pPr>
    <w:rPr>
      <w:lang w:val="en-US" w:eastAsia="en-US"/>
    </w:rPr>
  </w:style>
  <w:style w:type="table" w:styleId="TableGrid">
    <w:name w:val="Table Grid"/>
    <w:basedOn w:val="TableNormal"/>
    <w:uiPriority w:val="39"/>
    <w:rsid w:val="008236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semiHidden/>
    <w:unhideWhenUsed/>
    <w:rsid w:val="00823662"/>
    <w:rPr>
      <w:color w:val="800080" w:themeColor="followedHyperlink"/>
      <w:u w:val="single"/>
    </w:rPr>
  </w:style>
  <w:style w:type="paragraph" w:styleId="NoSpacing">
    <w:name w:val="No Spacing"/>
    <w:uiPriority w:val="1"/>
    <w:qFormat/>
    <w:rsid w:val="00C170DF"/>
    <w:rPr>
      <w:rFonts w:ascii="Calibri" w:eastAsia="Calibri" w:hAnsi="Calibri"/>
      <w:sz w:val="22"/>
      <w:szCs w:val="22"/>
      <w:lang w:val="en-US" w:eastAsia="en-US"/>
    </w:rPr>
  </w:style>
  <w:style w:type="character" w:styleId="CommentReference">
    <w:name w:val="annotation reference"/>
    <w:basedOn w:val="DefaultParagraphFont"/>
    <w:semiHidden/>
    <w:unhideWhenUsed/>
    <w:rsid w:val="00760FA5"/>
    <w:rPr>
      <w:sz w:val="16"/>
      <w:szCs w:val="16"/>
    </w:rPr>
  </w:style>
  <w:style w:type="paragraph" w:styleId="CommentText">
    <w:name w:val="annotation text"/>
    <w:basedOn w:val="Normal"/>
    <w:link w:val="CommentTextChar"/>
    <w:semiHidden/>
    <w:unhideWhenUsed/>
    <w:rsid w:val="00760FA5"/>
    <w:rPr>
      <w:sz w:val="20"/>
      <w:szCs w:val="20"/>
    </w:rPr>
  </w:style>
  <w:style w:type="character" w:customStyle="1" w:styleId="CommentTextChar">
    <w:name w:val="Comment Text Char"/>
    <w:basedOn w:val="DefaultParagraphFont"/>
    <w:link w:val="CommentText"/>
    <w:semiHidden/>
    <w:rsid w:val="00760FA5"/>
    <w:rPr>
      <w:lang w:val="en-AU" w:eastAsia="en-AU"/>
    </w:rPr>
  </w:style>
  <w:style w:type="paragraph" w:styleId="CommentSubject">
    <w:name w:val="annotation subject"/>
    <w:basedOn w:val="CommentText"/>
    <w:next w:val="CommentText"/>
    <w:link w:val="CommentSubjectChar"/>
    <w:semiHidden/>
    <w:unhideWhenUsed/>
    <w:rsid w:val="00760FA5"/>
    <w:rPr>
      <w:b/>
      <w:bCs/>
    </w:rPr>
  </w:style>
  <w:style w:type="character" w:customStyle="1" w:styleId="CommentSubjectChar">
    <w:name w:val="Comment Subject Char"/>
    <w:basedOn w:val="CommentTextChar"/>
    <w:link w:val="CommentSubject"/>
    <w:semiHidden/>
    <w:rsid w:val="00760FA5"/>
    <w:rPr>
      <w:b/>
      <w:bCs/>
      <w:lang w:val="en-AU" w:eastAsia="en-AU"/>
    </w:rPr>
  </w:style>
  <w:style w:type="character" w:styleId="PageNumber">
    <w:name w:val="page number"/>
    <w:basedOn w:val="DefaultParagraphFont"/>
    <w:semiHidden/>
    <w:unhideWhenUsed/>
    <w:rsid w:val="00C82349"/>
  </w:style>
  <w:style w:type="paragraph" w:styleId="Revision">
    <w:name w:val="Revision"/>
    <w:hidden/>
    <w:uiPriority w:val="99"/>
    <w:semiHidden/>
    <w:rsid w:val="00C01FA9"/>
    <w:rPr>
      <w:sz w:val="24"/>
      <w:szCs w:val="24"/>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A6F"/>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22F2"/>
    <w:pPr>
      <w:tabs>
        <w:tab w:val="center" w:pos="4153"/>
        <w:tab w:val="right" w:pos="8306"/>
      </w:tabs>
    </w:pPr>
  </w:style>
  <w:style w:type="paragraph" w:styleId="Footer">
    <w:name w:val="footer"/>
    <w:basedOn w:val="Normal"/>
    <w:link w:val="FooterChar"/>
    <w:uiPriority w:val="99"/>
    <w:rsid w:val="00B222F2"/>
    <w:pPr>
      <w:tabs>
        <w:tab w:val="center" w:pos="4153"/>
        <w:tab w:val="right" w:pos="8306"/>
      </w:tabs>
    </w:pPr>
  </w:style>
  <w:style w:type="paragraph" w:styleId="BodyText">
    <w:name w:val="Body Text"/>
    <w:basedOn w:val="Normal"/>
    <w:rsid w:val="00B222F2"/>
    <w:pPr>
      <w:spacing w:after="120"/>
    </w:pPr>
    <w:rPr>
      <w:szCs w:val="20"/>
      <w:lang w:val="en-US" w:eastAsia="en-US"/>
    </w:rPr>
  </w:style>
  <w:style w:type="paragraph" w:styleId="BalloonText">
    <w:name w:val="Balloon Text"/>
    <w:basedOn w:val="Normal"/>
    <w:semiHidden/>
    <w:rsid w:val="0058171A"/>
    <w:rPr>
      <w:rFonts w:ascii="Tahoma" w:hAnsi="Tahoma" w:cs="Tahoma"/>
      <w:sz w:val="16"/>
      <w:szCs w:val="16"/>
    </w:rPr>
  </w:style>
  <w:style w:type="character" w:styleId="Hyperlink">
    <w:name w:val="Hyperlink"/>
    <w:uiPriority w:val="99"/>
    <w:rsid w:val="00B86B7B"/>
    <w:rPr>
      <w:color w:val="0000FF"/>
      <w:u w:val="single"/>
    </w:rPr>
  </w:style>
  <w:style w:type="character" w:customStyle="1" w:styleId="FooterChar">
    <w:name w:val="Footer Char"/>
    <w:link w:val="Footer"/>
    <w:uiPriority w:val="99"/>
    <w:rsid w:val="00B86B7B"/>
    <w:rPr>
      <w:sz w:val="24"/>
      <w:szCs w:val="24"/>
      <w:lang w:val="en-AU" w:eastAsia="en-AU"/>
    </w:rPr>
  </w:style>
  <w:style w:type="character" w:customStyle="1" w:styleId="HeaderChar">
    <w:name w:val="Header Char"/>
    <w:link w:val="Header"/>
    <w:uiPriority w:val="99"/>
    <w:rsid w:val="00CE67BB"/>
    <w:rPr>
      <w:sz w:val="24"/>
      <w:szCs w:val="24"/>
      <w:lang w:val="en-AU" w:eastAsia="en-AU"/>
    </w:rPr>
  </w:style>
  <w:style w:type="paragraph" w:styleId="ListParagraph">
    <w:name w:val="List Paragraph"/>
    <w:basedOn w:val="Normal"/>
    <w:uiPriority w:val="34"/>
    <w:qFormat/>
    <w:rsid w:val="00E6016B"/>
    <w:pPr>
      <w:spacing w:after="200"/>
      <w:ind w:left="720"/>
      <w:contextualSpacing/>
    </w:pPr>
    <w:rPr>
      <w:rFonts w:ascii="Calibri" w:eastAsia="Calibri" w:hAnsi="Calibri"/>
      <w:lang w:val="en-GB" w:eastAsia="en-US"/>
    </w:rPr>
  </w:style>
  <w:style w:type="paragraph" w:styleId="BodyText2">
    <w:name w:val="Body Text 2"/>
    <w:basedOn w:val="Normal"/>
    <w:link w:val="BodyText2Char"/>
    <w:unhideWhenUsed/>
    <w:rsid w:val="00CC644A"/>
    <w:pPr>
      <w:spacing w:after="120" w:line="480" w:lineRule="auto"/>
    </w:pPr>
  </w:style>
  <w:style w:type="character" w:customStyle="1" w:styleId="BodyText2Char">
    <w:name w:val="Body Text 2 Char"/>
    <w:basedOn w:val="DefaultParagraphFont"/>
    <w:link w:val="BodyText2"/>
    <w:rsid w:val="00CC644A"/>
    <w:rPr>
      <w:sz w:val="24"/>
      <w:szCs w:val="24"/>
      <w:lang w:val="en-AU" w:eastAsia="en-AU"/>
    </w:rPr>
  </w:style>
  <w:style w:type="paragraph" w:customStyle="1" w:styleId="ListeParagraf">
    <w:name w:val="Liste Paragraf"/>
    <w:basedOn w:val="Normal"/>
    <w:uiPriority w:val="34"/>
    <w:qFormat/>
    <w:rsid w:val="00CC644A"/>
    <w:pPr>
      <w:ind w:left="720"/>
      <w:contextualSpacing/>
    </w:pPr>
    <w:rPr>
      <w:lang w:val="en-US" w:eastAsia="en-US"/>
    </w:rPr>
  </w:style>
  <w:style w:type="table" w:styleId="TableGrid">
    <w:name w:val="Table Grid"/>
    <w:basedOn w:val="TableNormal"/>
    <w:uiPriority w:val="39"/>
    <w:rsid w:val="008236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semiHidden/>
    <w:unhideWhenUsed/>
    <w:rsid w:val="00823662"/>
    <w:rPr>
      <w:color w:val="800080" w:themeColor="followedHyperlink"/>
      <w:u w:val="single"/>
    </w:rPr>
  </w:style>
  <w:style w:type="paragraph" w:styleId="NoSpacing">
    <w:name w:val="No Spacing"/>
    <w:uiPriority w:val="1"/>
    <w:qFormat/>
    <w:rsid w:val="00C170DF"/>
    <w:rPr>
      <w:rFonts w:ascii="Calibri" w:eastAsia="Calibri" w:hAnsi="Calibri"/>
      <w:sz w:val="22"/>
      <w:szCs w:val="22"/>
      <w:lang w:val="en-US" w:eastAsia="en-US"/>
    </w:rPr>
  </w:style>
  <w:style w:type="character" w:styleId="CommentReference">
    <w:name w:val="annotation reference"/>
    <w:basedOn w:val="DefaultParagraphFont"/>
    <w:semiHidden/>
    <w:unhideWhenUsed/>
    <w:rsid w:val="00760FA5"/>
    <w:rPr>
      <w:sz w:val="16"/>
      <w:szCs w:val="16"/>
    </w:rPr>
  </w:style>
  <w:style w:type="paragraph" w:styleId="CommentText">
    <w:name w:val="annotation text"/>
    <w:basedOn w:val="Normal"/>
    <w:link w:val="CommentTextChar"/>
    <w:semiHidden/>
    <w:unhideWhenUsed/>
    <w:rsid w:val="00760FA5"/>
    <w:rPr>
      <w:sz w:val="20"/>
      <w:szCs w:val="20"/>
    </w:rPr>
  </w:style>
  <w:style w:type="character" w:customStyle="1" w:styleId="CommentTextChar">
    <w:name w:val="Comment Text Char"/>
    <w:basedOn w:val="DefaultParagraphFont"/>
    <w:link w:val="CommentText"/>
    <w:semiHidden/>
    <w:rsid w:val="00760FA5"/>
    <w:rPr>
      <w:lang w:val="en-AU" w:eastAsia="en-AU"/>
    </w:rPr>
  </w:style>
  <w:style w:type="paragraph" w:styleId="CommentSubject">
    <w:name w:val="annotation subject"/>
    <w:basedOn w:val="CommentText"/>
    <w:next w:val="CommentText"/>
    <w:link w:val="CommentSubjectChar"/>
    <w:semiHidden/>
    <w:unhideWhenUsed/>
    <w:rsid w:val="00760FA5"/>
    <w:rPr>
      <w:b/>
      <w:bCs/>
    </w:rPr>
  </w:style>
  <w:style w:type="character" w:customStyle="1" w:styleId="CommentSubjectChar">
    <w:name w:val="Comment Subject Char"/>
    <w:basedOn w:val="CommentTextChar"/>
    <w:link w:val="CommentSubject"/>
    <w:semiHidden/>
    <w:rsid w:val="00760FA5"/>
    <w:rPr>
      <w:b/>
      <w:bCs/>
      <w:lang w:val="en-AU" w:eastAsia="en-AU"/>
    </w:rPr>
  </w:style>
  <w:style w:type="character" w:styleId="PageNumber">
    <w:name w:val="page number"/>
    <w:basedOn w:val="DefaultParagraphFont"/>
    <w:semiHidden/>
    <w:unhideWhenUsed/>
    <w:rsid w:val="00C82349"/>
  </w:style>
  <w:style w:type="paragraph" w:styleId="Revision">
    <w:name w:val="Revision"/>
    <w:hidden/>
    <w:uiPriority w:val="99"/>
    <w:semiHidden/>
    <w:rsid w:val="00C01FA9"/>
    <w:rPr>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06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orgecavero@ecytbolivia.com" TargetMode="External"/><Relationship Id="rId12" Type="http://schemas.openxmlformats.org/officeDocument/2006/relationships/hyperlink" Target="http://www.xe.com" TargetMode="External"/><Relationship Id="rId13" Type="http://schemas.openxmlformats.org/officeDocument/2006/relationships/hyperlink" Target="mailto:mafaluloto2@gmail.com" TargetMode="External"/><Relationship Id="rId14" Type="http://schemas.openxmlformats.org/officeDocument/2006/relationships/hyperlink" Target="mailto:rapajyoung@gmail.com" TargetMode="External"/><Relationship Id="rId15" Type="http://schemas.openxmlformats.org/officeDocument/2006/relationships/hyperlink" Target="mailto:jorgecavero@ecytbolivia.com"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mafaluloto2@gmail.com" TargetMode="External"/><Relationship Id="rId10" Type="http://schemas.openxmlformats.org/officeDocument/2006/relationships/hyperlink" Target="mailto:rapajyoung@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A8522-114D-144F-BA07-52A5C4432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2501</Words>
  <Characters>14261</Characters>
  <Application>Microsoft Macintosh Word</Application>
  <DocSecurity>0</DocSecurity>
  <Lines>118</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Person</vt:lpstr>
      <vt:lpstr>Person</vt:lpstr>
    </vt:vector>
  </TitlesOfParts>
  <Company>OTA</Company>
  <LinksUpToDate>false</LinksUpToDate>
  <CharactersWithSpaces>16729</CharactersWithSpaces>
  <SharedDoc>false</SharedDoc>
  <HLinks>
    <vt:vector size="6" baseType="variant">
      <vt:variant>
        <vt:i4>7733348</vt:i4>
      </vt:variant>
      <vt:variant>
        <vt:i4>0</vt:i4>
      </vt:variant>
      <vt:variant>
        <vt:i4>0</vt:i4>
      </vt:variant>
      <vt:variant>
        <vt:i4>5</vt:i4>
      </vt:variant>
      <vt:variant>
        <vt:lpwstr>http://www.tonga-energy.to/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Siakala</dc:creator>
  <cp:lastModifiedBy>Mafalu Lotolua</cp:lastModifiedBy>
  <cp:revision>2</cp:revision>
  <cp:lastPrinted>2021-04-07T08:08:00Z</cp:lastPrinted>
  <dcterms:created xsi:type="dcterms:W3CDTF">2021-06-21T02:30:00Z</dcterms:created>
  <dcterms:modified xsi:type="dcterms:W3CDTF">2021-06-21T02:30:00Z</dcterms:modified>
</cp:coreProperties>
</file>